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79A8" w:rsidRDefault="00E04067">
      <w:pPr>
        <w:pStyle w:val="Standard"/>
        <w:autoSpaceDE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Nóráp község képviselő-testületének</w:t>
      </w:r>
    </w:p>
    <w:p w:rsidR="00B479A8" w:rsidRDefault="00E04067">
      <w:pPr>
        <w:pStyle w:val="Standard"/>
        <w:autoSpaceDE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Etikai Kódexe</w:t>
      </w:r>
    </w:p>
    <w:p w:rsidR="00B479A8" w:rsidRDefault="00B479A8">
      <w:pPr>
        <w:pStyle w:val="Standard"/>
        <w:autoSpaceDE w:val="0"/>
        <w:jc w:val="center"/>
        <w:rPr>
          <w:b/>
          <w:bCs/>
          <w:sz w:val="28"/>
          <w:szCs w:val="28"/>
        </w:rPr>
      </w:pPr>
    </w:p>
    <w:p w:rsidR="00B479A8" w:rsidRDefault="00E04067">
      <w:pPr>
        <w:pStyle w:val="Standard"/>
        <w:autoSpaceDE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I. Az Etikai Kódex kiadásának célja</w:t>
      </w:r>
    </w:p>
    <w:p w:rsidR="00B479A8" w:rsidRDefault="00E04067">
      <w:pPr>
        <w:pStyle w:val="Standard"/>
        <w:autoSpaceDE w:val="0"/>
        <w:jc w:val="both"/>
        <w:rPr>
          <w:b/>
          <w:bCs/>
        </w:rPr>
      </w:pPr>
      <w:r>
        <w:rPr>
          <w:b/>
          <w:bCs/>
        </w:rPr>
        <w:t xml:space="preserve">Nóráp község képviselő-testülete szükségesnek tartja megalkotni és  meghatározni az önkormányzati </w:t>
      </w:r>
      <w:r>
        <w:rPr>
          <w:b/>
          <w:bCs/>
        </w:rPr>
        <w:t>tisztségükkel összefüggő azon magatartási- és viselkedési szabályokat, melyek segítséget és keretet nyújtanak a közszolgálatuk ellátásához és a közbizalom megerősítéséhez. A testület tagjai tudomásul veszik azt, hogy önkéntesen vállalt jelöltségük útján me</w:t>
      </w:r>
      <w:r>
        <w:rPr>
          <w:b/>
          <w:bCs/>
        </w:rPr>
        <w:t>gválasztott közéleti szereplővé váltak, ezért velük szemben magasabb magatartási- és életviteli normák várhatóak el, közmegbízatásuk magasabb etikai, erkölcsi követelményeket támaszt.  Nóráp község képviselő testületének Etikai Kódexe meghatározza a szerve</w:t>
      </w:r>
      <w:r>
        <w:rPr>
          <w:b/>
          <w:bCs/>
        </w:rPr>
        <w:t>zeten belüli- és a tisztségből eredően külső kapcsolatokban is elvárható magatartási-  és viselkedési ajánlásokat, elvárásokat, szabályokat.</w:t>
      </w:r>
    </w:p>
    <w:p w:rsidR="00B479A8" w:rsidRDefault="00E04067">
      <w:pPr>
        <w:pStyle w:val="Standard"/>
        <w:autoSpaceDE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II. Az Etikai Kódex hatálya</w:t>
      </w:r>
    </w:p>
    <w:p w:rsidR="00B479A8" w:rsidRDefault="00E04067">
      <w:pPr>
        <w:pStyle w:val="Standard"/>
        <w:autoSpaceDE w:val="0"/>
        <w:jc w:val="both"/>
        <w:rPr>
          <w:b/>
          <w:bCs/>
        </w:rPr>
      </w:pPr>
      <w:r>
        <w:rPr>
          <w:b/>
          <w:bCs/>
        </w:rPr>
        <w:t>1. Személyi hatály</w:t>
      </w:r>
    </w:p>
    <w:p w:rsidR="00B479A8" w:rsidRDefault="00E04067">
      <w:pPr>
        <w:pStyle w:val="Standard"/>
        <w:autoSpaceDE w:val="0"/>
        <w:jc w:val="both"/>
        <w:rPr>
          <w:b/>
          <w:bCs/>
        </w:rPr>
      </w:pPr>
      <w:r>
        <w:rPr>
          <w:b/>
          <w:bCs/>
        </w:rPr>
        <w:t>Az Etikai Kódex hatálya kiterjed Nóráp község Önkormányzata képvisel</w:t>
      </w:r>
      <w:r>
        <w:rPr>
          <w:b/>
          <w:bCs/>
        </w:rPr>
        <w:t>ő testületének tagjaira ,  az önkormányzat képviseletében eljáró személyre testületi megbízatása, meghatalmazása alatt.</w:t>
      </w:r>
    </w:p>
    <w:p w:rsidR="00B479A8" w:rsidRDefault="00E04067">
      <w:pPr>
        <w:pStyle w:val="Standard"/>
        <w:autoSpaceDE w:val="0"/>
        <w:jc w:val="both"/>
        <w:rPr>
          <w:b/>
          <w:bCs/>
        </w:rPr>
      </w:pPr>
      <w:r>
        <w:rPr>
          <w:b/>
          <w:bCs/>
        </w:rPr>
        <w:t>2. Időbeli hatály</w:t>
      </w:r>
    </w:p>
    <w:p w:rsidR="00B479A8" w:rsidRDefault="00E04067">
      <w:pPr>
        <w:pStyle w:val="Standard"/>
        <w:autoSpaceDE w:val="0"/>
        <w:jc w:val="both"/>
      </w:pPr>
      <w:r>
        <w:rPr>
          <w:b/>
          <w:bCs/>
        </w:rPr>
        <w:t>Az Etikai Kódex  elfogadásának napján, 2023. április .</w:t>
      </w:r>
      <w:r>
        <w:t>…</w:t>
      </w:r>
      <w:r>
        <w:rPr>
          <w:b/>
          <w:bCs/>
        </w:rPr>
        <w:t>-én lép hatályba, a képviselő jogállásának tartama alatt hatály</w:t>
      </w:r>
      <w:r>
        <w:rPr>
          <w:b/>
          <w:bCs/>
        </w:rPr>
        <w:t>os, illetve visszavonásáig marad érvényben.</w:t>
      </w:r>
    </w:p>
    <w:p w:rsidR="00B479A8" w:rsidRDefault="00B479A8">
      <w:pPr>
        <w:pStyle w:val="Standard"/>
        <w:autoSpaceDE w:val="0"/>
        <w:jc w:val="both"/>
      </w:pPr>
    </w:p>
    <w:p w:rsidR="00B479A8" w:rsidRDefault="00E04067">
      <w:pPr>
        <w:pStyle w:val="Standard"/>
        <w:autoSpaceDE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III. A képviselőtől elvárt magatartási követelmények</w:t>
      </w:r>
    </w:p>
    <w:p w:rsidR="00B479A8" w:rsidRDefault="00B479A8">
      <w:pPr>
        <w:pStyle w:val="Standard"/>
        <w:autoSpaceDE w:val="0"/>
        <w:rPr>
          <w:b/>
          <w:bCs/>
        </w:rPr>
      </w:pPr>
    </w:p>
    <w:p w:rsidR="00B479A8" w:rsidRDefault="00E04067">
      <w:pPr>
        <w:pStyle w:val="Standard"/>
        <w:autoSpaceDE w:val="0"/>
        <w:rPr>
          <w:b/>
          <w:bCs/>
        </w:rPr>
      </w:pPr>
      <w:r>
        <w:rPr>
          <w:b/>
          <w:bCs/>
        </w:rPr>
        <w:t>A képviselőtől elvárt általános magatartási követelmények</w:t>
      </w:r>
    </w:p>
    <w:p w:rsidR="00B479A8" w:rsidRDefault="00E04067">
      <w:pPr>
        <w:pStyle w:val="Standard"/>
        <w:autoSpaceDE w:val="0"/>
        <w:jc w:val="both"/>
        <w:rPr>
          <w:b/>
          <w:bCs/>
        </w:rPr>
      </w:pPr>
      <w:r>
        <w:rPr>
          <w:b/>
          <w:bCs/>
        </w:rPr>
        <w:t>3.1. Elkötelezett tisztségviselőként minden fórumon Nóráp érdekében járjon el, a község javaival, é</w:t>
      </w:r>
      <w:r>
        <w:rPr>
          <w:b/>
          <w:bCs/>
        </w:rPr>
        <w:t>rtékeivel a jó gazda gondosságával bánjon. Tartsa be az esküjében vállaltakat, a rá vonatkozó törvényeket, jogszabályokat, valamint a  Szervezeti és Működési Szabályzatban foglaltakat.</w:t>
      </w:r>
    </w:p>
    <w:p w:rsidR="00B479A8" w:rsidRDefault="00E04067">
      <w:pPr>
        <w:pStyle w:val="Standard"/>
        <w:autoSpaceDE w:val="0"/>
        <w:jc w:val="both"/>
      </w:pPr>
      <w:r>
        <w:rPr>
          <w:b/>
          <w:bCs/>
        </w:rPr>
        <w:t>3.2. Elfogulatlanul, részrehajlás nélkül, jogszerűen, ésszerű előrelátá</w:t>
      </w:r>
      <w:r>
        <w:rPr>
          <w:b/>
          <w:bCs/>
        </w:rPr>
        <w:t>ssal végezze feladatait. Ne tegyen különbséget a hozzá forduló állampolgárok között, minden kérést egyenlő bánásmód mellett és gondosan kezeljen. Köteles elkerülni a részrehajló magatartás látszatát is,  feladatkörének gyakorlása során sem  közvetlenül, se</w:t>
      </w:r>
      <w:r>
        <w:rPr>
          <w:b/>
          <w:bCs/>
        </w:rPr>
        <w:t>m pedig közvetve nem helyezheti jogosulatlanul előtérbe a saját, vagy hozzátartozója illetve hozzá közelállók  érdekeit.</w:t>
      </w:r>
      <w:r>
        <w:t xml:space="preserve">  </w:t>
      </w:r>
    </w:p>
    <w:p w:rsidR="00B479A8" w:rsidRDefault="00E04067">
      <w:pPr>
        <w:pStyle w:val="Standard"/>
        <w:autoSpaceDE w:val="0"/>
        <w:jc w:val="both"/>
        <w:rPr>
          <w:b/>
          <w:bCs/>
        </w:rPr>
      </w:pPr>
      <w:r>
        <w:rPr>
          <w:b/>
          <w:bCs/>
        </w:rPr>
        <w:t>3.3. A polgárokkal kapcsolatban tanúsítson empátiát és megértést, legyen udvarias, kerülje a sértő, kirekesztő, kioktató magatartást.</w:t>
      </w:r>
      <w:r>
        <w:rPr>
          <w:b/>
          <w:bCs/>
        </w:rPr>
        <w:t xml:space="preserve"> Tekintse a polgárokat egyenrangú feleknek, eljárásában törekedjenek a kölcsönös bizalom megteremtésére, fenntartására. Az általa kijelölt fogadónapokon és azon túl is tartson rendszeres kapcsolatot a lakossággal, ismerje a község polgárait foglalkoztató g</w:t>
      </w:r>
      <w:r>
        <w:rPr>
          <w:b/>
          <w:bCs/>
        </w:rPr>
        <w:t>ondokat, problémákat, nyújtson segítséget vagy  adjon útmutatást azok törvényes megoldásához.  A polgárok jogainak korlátozását kerülje, megfontoltan tartsa tiszteletben a magánszemélyek jogos érdekei és az általános közérdek közötti egyensúlyt. Tevékenysé</w:t>
      </w:r>
      <w:r>
        <w:rPr>
          <w:b/>
          <w:bCs/>
        </w:rPr>
        <w:t>ge során érvényesüljön a szolgáltató jelleg,kapjon megfelelő hangsúlyt a köz szolgálata.</w:t>
      </w:r>
    </w:p>
    <w:p w:rsidR="00B479A8" w:rsidRDefault="00E04067">
      <w:pPr>
        <w:pStyle w:val="Standard"/>
        <w:autoSpaceDE w:val="0"/>
        <w:jc w:val="both"/>
        <w:rPr>
          <w:b/>
          <w:bCs/>
        </w:rPr>
      </w:pPr>
      <w:r>
        <w:rPr>
          <w:b/>
          <w:bCs/>
        </w:rPr>
        <w:lastRenderedPageBreak/>
        <w:t>3.4. A képviselő testület tagjai az egymással szemben tanúsított, valamint egymás véleménye iránti kölcsönös tisztelet szem előtt tartásával alakítják munkakapcsolatuk</w:t>
      </w:r>
      <w:r>
        <w:rPr>
          <w:b/>
          <w:bCs/>
        </w:rPr>
        <w:t>at, különösen álláspontjaik ütközése, megvitatása során. Testületi munkájából eredő bármely személyi- vagy  intézkedési kifogását, sérelmét – hangsúlyosan a vezetői döntés kompetenciájába tartozó ügyben -  az érintettel közvetlenül megosztva, vagy önkormán</w:t>
      </w:r>
      <w:r>
        <w:rPr>
          <w:b/>
          <w:bCs/>
        </w:rPr>
        <w:t>yzati munkakeretben említse. Kerülje a nyilvánosság vagy kisebb közösség előtti ártó, bomlasztó kritikát.  Önkormányzati ügyekben a véleményét álláspontja kifejtésével, megvitatásával, majd adott tárgykörben leadott szavazatával (tartózkodásával) fejezi ki</w:t>
      </w:r>
      <w:r>
        <w:rPr>
          <w:b/>
          <w:bCs/>
        </w:rPr>
        <w:t xml:space="preserve">, a meggyőződésével szemben meghozott többségi testületi döntést tudomásul veszi és elfogadja. Tilos keresnie azokat a lehetőségeket, amelyek alkalmasak az Önkormányzat döntéseinek vagy tevékenységének meghiúsítására, befolyásolására !  </w:t>
      </w:r>
    </w:p>
    <w:p w:rsidR="00B479A8" w:rsidRDefault="00E04067">
      <w:pPr>
        <w:pStyle w:val="Standard"/>
        <w:autoSpaceDE w:val="0"/>
        <w:jc w:val="both"/>
        <w:rPr>
          <w:b/>
          <w:bCs/>
        </w:rPr>
      </w:pPr>
      <w:r>
        <w:rPr>
          <w:b/>
          <w:bCs/>
        </w:rPr>
        <w:t>3.5. Ne tegyen meg</w:t>
      </w:r>
      <w:r>
        <w:rPr>
          <w:b/>
          <w:bCs/>
        </w:rPr>
        <w:t>alapozatlan vagy feladatát, hatáskörét meghaladó ígéretet,  azonban vállalásait – ha azt indokolt körülmény nem gátolja vagy akadályozza – tartsa be!  Viselje a felelősséget esetleges rossz, vagy helytelen döntéseiért,  intézkedéseiért, ezeket elsőként a t</w:t>
      </w:r>
      <w:r>
        <w:rPr>
          <w:b/>
          <w:bCs/>
        </w:rPr>
        <w:t>estület előtt, majd megfelelő kereteken belül az érintettek előtt is önként tárja fel ! Köteles minden tisztségével, felelősségi körével összefüggő akadályozó tényről, befolyásoló körülményről tájékoztatni a testületet, különösen, ha törvénysértő vagy bárm</w:t>
      </w:r>
      <w:r>
        <w:rPr>
          <w:b/>
          <w:bCs/>
        </w:rPr>
        <w:t>ely olyan tevékenységre kérik, amely helytelen ügyintézést foglal magában, összeegyeztethetetlen esküjével, lelkiismeretével.</w:t>
      </w:r>
    </w:p>
    <w:p w:rsidR="00B479A8" w:rsidRDefault="00E04067">
      <w:pPr>
        <w:pStyle w:val="Standard"/>
        <w:autoSpaceDE w:val="0"/>
        <w:jc w:val="both"/>
        <w:rPr>
          <w:b/>
          <w:bCs/>
        </w:rPr>
      </w:pPr>
      <w:r>
        <w:rPr>
          <w:b/>
          <w:bCs/>
        </w:rPr>
        <w:t>3.6. Legyen tisztában a képviselő-testület döntéseivel, vállalásaival, céljaival. Naprakészen és pontosan tájékozódjon ezekről, ma</w:t>
      </w:r>
      <w:r>
        <w:rPr>
          <w:b/>
          <w:bCs/>
        </w:rPr>
        <w:t>jd  önkormányzati ügyben valósághű, hiteles tájékoztatást adjon a nyilvánosság minden színterén. Pontosan informálja és tájékoztassa az érdekelteket,  közérdekű információkat tudatosan ne ferdítsen el és ne tartson vissza.  Tartsa meg a hatáskörében tudomá</w:t>
      </w:r>
      <w:r>
        <w:rPr>
          <w:b/>
          <w:bCs/>
        </w:rPr>
        <w:t>sára jutott hivatali- és magántitkot,  kezelje bizalmasan a munkavégzése során tudomására jutott bennfentes adatokat, illetve személyiségi jogot érintő információkat, ezeket képviselői megbízatása megszűnését követően se hozza nyilvánosságra ! Titoktartási</w:t>
      </w:r>
      <w:r>
        <w:rPr>
          <w:b/>
          <w:bCs/>
        </w:rPr>
        <w:t xml:space="preserve"> kötelezettség kiterjed a magántitokra, a levéltitokra, az üzleti titokra, valamint a közérdekű adatnak vagy közérdekből nyilvános adatnak nem minősülő ismeretekre.  </w:t>
      </w:r>
    </w:p>
    <w:p w:rsidR="00B479A8" w:rsidRDefault="00E04067">
      <w:pPr>
        <w:pStyle w:val="Standard"/>
        <w:autoSpaceDE w:val="0"/>
        <w:jc w:val="both"/>
        <w:rPr>
          <w:b/>
          <w:bCs/>
        </w:rPr>
      </w:pPr>
      <w:r>
        <w:rPr>
          <w:b/>
          <w:bCs/>
        </w:rPr>
        <w:t>3.7. Nem kérhet, és nem fogadhat el – sem közvetve, sem közvetlenül – olyan ajándékot, ju</w:t>
      </w:r>
      <w:r>
        <w:rPr>
          <w:b/>
          <w:bCs/>
        </w:rPr>
        <w:t>ttatást vagy egyéb előnyt, amely képviselői munkája befolyásolására irányul vagy alkalmas arra, hogy befolyásolja ítélőképességét, feladatai tisztességes ellátását vagy döntéseit.  A közéleti erkölcsöt leginkább sértő cselekedetek, így a korrupció, a prote</w:t>
      </w:r>
      <w:r>
        <w:rPr>
          <w:b/>
          <w:bCs/>
        </w:rPr>
        <w:t>kció, az elvtelen népszerűség hajhászás és karrierizmus, a hatalommal való visszaélés minden formáját tagadja meg!</w:t>
      </w:r>
    </w:p>
    <w:p w:rsidR="00B479A8" w:rsidRDefault="00B479A8">
      <w:pPr>
        <w:pStyle w:val="Standard"/>
        <w:autoSpaceDE w:val="0"/>
        <w:jc w:val="both"/>
        <w:rPr>
          <w:b/>
        </w:rPr>
      </w:pPr>
    </w:p>
    <w:p w:rsidR="00B479A8" w:rsidRDefault="00E04067">
      <w:pPr>
        <w:pStyle w:val="Standard"/>
        <w:autoSpaceDE w:val="0"/>
        <w:jc w:val="both"/>
        <w:rPr>
          <w:b/>
          <w:bCs/>
        </w:rPr>
      </w:pPr>
      <w:r>
        <w:rPr>
          <w:b/>
          <w:bCs/>
        </w:rPr>
        <w:t>Magánélete során</w:t>
      </w:r>
    </w:p>
    <w:p w:rsidR="00B479A8" w:rsidRDefault="00B479A8">
      <w:pPr>
        <w:pStyle w:val="Standard"/>
        <w:autoSpaceDE w:val="0"/>
        <w:jc w:val="center"/>
        <w:rPr>
          <w:b/>
          <w:bCs/>
        </w:rPr>
      </w:pPr>
    </w:p>
    <w:p w:rsidR="00B479A8" w:rsidRDefault="00E04067">
      <w:pPr>
        <w:pStyle w:val="Standard"/>
        <w:autoSpaceDE w:val="0"/>
        <w:jc w:val="both"/>
        <w:rPr>
          <w:b/>
          <w:bCs/>
        </w:rPr>
      </w:pPr>
      <w:r>
        <w:rPr>
          <w:b/>
          <w:bCs/>
        </w:rPr>
        <w:t>3.8. Legyen figyelemmel arra, hogy személyén, életvitelén keresztül a polgárok az egész képviselő testületet ítélhetik meg</w:t>
      </w:r>
      <w:r>
        <w:rPr>
          <w:b/>
          <w:bCs/>
        </w:rPr>
        <w:t xml:space="preserve"> ! Tartózkodjon minden olyan magatartástól, mely  veszélyezteti az önkormányzat működéséhez kapcsolódó közbizalmat.  Körültekintően járjon el a világháló használatakor,  posztjai és megosztásai során tartózkodjon a jó hírét, méltóságát vagy az önkormányzat</w:t>
      </w:r>
      <w:r>
        <w:rPr>
          <w:b/>
          <w:bCs/>
        </w:rPr>
        <w:t xml:space="preserve"> tekintélyét csorbító tartalmaktól. Előzetes egyeztetés, jóváhagyás és feljogosítás nélkül magánemberként ne tegyen az  önkormányzattal bármely körben összefüggő média- (sajtó, internet) nyilatkozatot , kövesse a  nyilatkozattételre irányadó szabályokat !</w:t>
      </w:r>
    </w:p>
    <w:p w:rsidR="00B479A8" w:rsidRDefault="00E04067">
      <w:pPr>
        <w:pStyle w:val="Standard"/>
        <w:autoSpaceDE w:val="0"/>
        <w:jc w:val="both"/>
      </w:pPr>
      <w:r>
        <w:rPr>
          <w:b/>
          <w:bCs/>
        </w:rPr>
        <w:t>3.9. Életvitelével is fejezze ki viselt tisztségét, tanúsítson viselkedésében, modorában, emberi megnyilvánulásaiban kiegyensúlyozott, mértéktartó, szélsőségektől mentes magatartást. Vívja ki és tartsa meg Nóráp község polgárainak megbecsülését, törekedjen</w:t>
      </w:r>
      <w:r>
        <w:rPr>
          <w:b/>
          <w:bCs/>
        </w:rPr>
        <w:t xml:space="preserve"> arra, hogy magánszférája ne adjon okot tisztességében való kételkedésre, a közösség rosszallására. Magatartásával erősítse a közélet tisztaságába vetett bizalmat.</w:t>
      </w:r>
    </w:p>
    <w:p w:rsidR="00B479A8" w:rsidRDefault="00E04067">
      <w:pPr>
        <w:pStyle w:val="Standard"/>
        <w:autoSpaceDE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IV. Eljárási szabályok</w:t>
      </w:r>
    </w:p>
    <w:p w:rsidR="00B479A8" w:rsidRDefault="00E04067">
      <w:pPr>
        <w:pStyle w:val="Standard"/>
        <w:autoSpaceDE w:val="0"/>
        <w:jc w:val="both"/>
        <w:rPr>
          <w:b/>
          <w:bCs/>
        </w:rPr>
      </w:pPr>
      <w:r>
        <w:rPr>
          <w:b/>
          <w:bCs/>
        </w:rPr>
        <w:t>Etikai vétségnek minősül az Etikai Kódex szabályait megszegő cselekmé</w:t>
      </w:r>
      <w:r>
        <w:rPr>
          <w:b/>
          <w:bCs/>
        </w:rPr>
        <w:t>ny, amennyiben  az nem merít ki szabálysértést vagy bűncselekményt.  Etikai vétség esetén etikai eljárás indulhat közvetlen észlelés vagy bejelentés alapján. Az etikai vétséget a képviselő-testület vizsgálja ki, ennek során feltárja annak részleteit, körül</w:t>
      </w:r>
      <w:r>
        <w:rPr>
          <w:b/>
          <w:bCs/>
        </w:rPr>
        <w:t>ményeit. Képviselői etikai vétség esetén a polgármester,  polgármesteri etikai vétségben az alpolgármester vezetésével jár el a testület.  A testület az ismert, tudomására jutott tények vonatkozásában az érintett képviselő meghallgatásával vizsgálja a képv</w:t>
      </w:r>
      <w:r>
        <w:rPr>
          <w:b/>
          <w:bCs/>
        </w:rPr>
        <w:t xml:space="preserve">iselővel szembeni felmerülő etikai kifogást, bejelentést, panaszt. A vizsgálat vétkes és vétlen megállapítással zárulhat. Az etikai eljárást jogszerűen és tisztességesen kell lefolytatni, az eljárásban érvényesíteni kell az ártatlanság vélelmét szem előtt </w:t>
      </w:r>
      <w:r>
        <w:rPr>
          <w:b/>
          <w:bCs/>
        </w:rPr>
        <w:t>tartva képviselő jó hírnévhez fűződő jogát. Mellőzhető a kivizsgálás, amennyiben az ügy megítélése egyszerű, hitelt érdemlően bizonyított, vagy a képviselő elismeri etikai felelősségét.</w:t>
      </w:r>
    </w:p>
    <w:p w:rsidR="00B479A8" w:rsidRDefault="00B479A8">
      <w:pPr>
        <w:pStyle w:val="Standard"/>
        <w:autoSpaceDE w:val="0"/>
        <w:jc w:val="center"/>
        <w:rPr>
          <w:b/>
          <w:bCs/>
          <w:sz w:val="28"/>
          <w:szCs w:val="28"/>
        </w:rPr>
      </w:pPr>
    </w:p>
    <w:p w:rsidR="00B479A8" w:rsidRDefault="00E04067">
      <w:pPr>
        <w:pStyle w:val="Standard"/>
        <w:autoSpaceDE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V. Szankciók</w:t>
      </w:r>
    </w:p>
    <w:p w:rsidR="00B479A8" w:rsidRDefault="00E04067">
      <w:pPr>
        <w:pStyle w:val="Standard"/>
        <w:autoSpaceDE w:val="0"/>
        <w:jc w:val="both"/>
      </w:pPr>
      <w:r>
        <w:rPr>
          <w:b/>
          <w:bCs/>
        </w:rPr>
        <w:t>5.1.  Amennyiben megállapítást nyer az Etikai Kódexben f</w:t>
      </w:r>
      <w:r>
        <w:rPr>
          <w:b/>
          <w:bCs/>
        </w:rPr>
        <w:t>oglaltak megsértése erről a testület feljegyzést készít , melyet az ülésén ismertet. Első intézkedésként a képviselő írásos testületi felhívásban lehetőséget kap az</w:t>
      </w:r>
      <w:r>
        <w:t xml:space="preserve"> </w:t>
      </w:r>
      <w:r>
        <w:rPr>
          <w:b/>
          <w:bCs/>
        </w:rPr>
        <w:t>a neki felrótt cselekedet rendezésére, bocsánatkérésre és azok  megkövetésére, akik személy</w:t>
      </w:r>
      <w:r>
        <w:rPr>
          <w:b/>
          <w:bCs/>
        </w:rPr>
        <w:t>ével vagy jogos érdekeikkel szemben sértő stílusban, durván, vagy viselkedésében  helytelen módon járt el.</w:t>
      </w:r>
    </w:p>
    <w:p w:rsidR="00B479A8" w:rsidRDefault="00E04067">
      <w:pPr>
        <w:pStyle w:val="Standard"/>
        <w:autoSpaceDE w:val="0"/>
        <w:jc w:val="both"/>
        <w:rPr>
          <w:b/>
          <w:bCs/>
        </w:rPr>
      </w:pPr>
      <w:r>
        <w:rPr>
          <w:b/>
          <w:bCs/>
        </w:rPr>
        <w:t>5.2. Amennyiben az érintett képviselő a feljegyzésben foglalt felhívásnak nem tesz eleget,  ismételten elköveti ugyanazon etikai vétséget, vagy magat</w:t>
      </w:r>
      <w:r>
        <w:rPr>
          <w:b/>
          <w:bCs/>
        </w:rPr>
        <w:t>artását a testület lényeges súlyúnak, kirívóan súlyosnak tekinti vele szemben írásos figyelmeztetés, megrovás alkalmazható.  Az intézkedés  elmarasztaló vagy mentesítő ténye egyéb érintettel (különösen a panaszossal, képviselőjével ) írásban is közölhető.</w:t>
      </w:r>
    </w:p>
    <w:p w:rsidR="00B479A8" w:rsidRDefault="00E04067">
      <w:pPr>
        <w:pStyle w:val="Standard"/>
        <w:autoSpaceDE w:val="0"/>
        <w:jc w:val="both"/>
        <w:rPr>
          <w:b/>
          <w:bCs/>
        </w:rPr>
      </w:pPr>
      <w:r>
        <w:rPr>
          <w:b/>
          <w:bCs/>
        </w:rPr>
        <w:t>5.3.  A testület megállapításaira az érintett képviselő – az etikai eljárás teljes időtartama alatt – írásban vagy szóban észrevételt tehet.</w:t>
      </w:r>
    </w:p>
    <w:p w:rsidR="00B479A8" w:rsidRDefault="00E04067">
      <w:pPr>
        <w:pStyle w:val="Standard"/>
        <w:autoSpaceDE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VI. Egyebek</w:t>
      </w:r>
    </w:p>
    <w:p w:rsidR="00B479A8" w:rsidRDefault="00E04067">
      <w:pPr>
        <w:pStyle w:val="Standard"/>
        <w:autoSpaceDE w:val="0"/>
        <w:jc w:val="both"/>
        <w:rPr>
          <w:b/>
          <w:bCs/>
        </w:rPr>
      </w:pPr>
      <w:r>
        <w:rPr>
          <w:b/>
          <w:bCs/>
        </w:rPr>
        <w:t>Az Etikai Kódex rendelkezései a képviselő egyéni elfogadó nyilatkozatával válnak alkalmazhatóvá.</w:t>
      </w:r>
    </w:p>
    <w:p w:rsidR="00B479A8" w:rsidRDefault="00E04067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VII. Z</w:t>
      </w:r>
      <w:r>
        <w:rPr>
          <w:b/>
          <w:sz w:val="28"/>
          <w:szCs w:val="28"/>
        </w:rPr>
        <w:t>áradék</w:t>
      </w:r>
    </w:p>
    <w:p w:rsidR="00B479A8" w:rsidRDefault="00E04067">
      <w:pPr>
        <w:pStyle w:val="Standard"/>
        <w:jc w:val="both"/>
        <w:rPr>
          <w:b/>
          <w:bCs/>
        </w:rPr>
      </w:pPr>
      <w:r>
        <w:rPr>
          <w:b/>
          <w:bCs/>
        </w:rPr>
        <w:t xml:space="preserve">Nóráp község Önkormányzatának Képviselő-testülete az Etikai Kódex-et – a Képviselő-testület 2023.. április hó …..... napján megtartott nyilvános ülésén meghozott önkormányzati határozatával – elfogadta és jóváhagyta, ezért  azt a testület tagjai és </w:t>
      </w:r>
      <w:r>
        <w:rPr>
          <w:b/>
          <w:bCs/>
        </w:rPr>
        <w:t>a jegyző  aláírásával  hitelesíti.</w:t>
      </w:r>
    </w:p>
    <w:p w:rsidR="00B479A8" w:rsidRDefault="00B479A8">
      <w:pPr>
        <w:pStyle w:val="Standard"/>
        <w:jc w:val="both"/>
        <w:rPr>
          <w:b/>
          <w:bCs/>
        </w:rPr>
      </w:pPr>
    </w:p>
    <w:p w:rsidR="00B479A8" w:rsidRDefault="00E04067">
      <w:pPr>
        <w:pStyle w:val="Standard"/>
        <w:jc w:val="both"/>
        <w:rPr>
          <w:b/>
          <w:bCs/>
        </w:rPr>
      </w:pPr>
      <w:r>
        <w:rPr>
          <w:b/>
          <w:bCs/>
        </w:rPr>
        <w:t>Nóráp, 2023. április …...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ph.</w:t>
      </w:r>
      <w:r>
        <w:rPr>
          <w:b/>
          <w:bCs/>
        </w:rPr>
        <w:tab/>
      </w:r>
      <w:r>
        <w:rPr>
          <w:b/>
          <w:bCs/>
        </w:rPr>
        <w:tab/>
        <w:t>…...................................</w:t>
      </w:r>
    </w:p>
    <w:p w:rsidR="00B479A8" w:rsidRDefault="00E04067">
      <w:pPr>
        <w:pStyle w:val="Standard"/>
        <w:jc w:val="both"/>
        <w:rPr>
          <w:b/>
          <w:bCs/>
        </w:rPr>
      </w:pPr>
      <w:r>
        <w:rPr>
          <w:b/>
          <w:bCs/>
        </w:rPr>
        <w:t>Képviselők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          polgármester</w:t>
      </w:r>
    </w:p>
    <w:p w:rsidR="00B479A8" w:rsidRDefault="00E04067">
      <w:pPr>
        <w:pStyle w:val="Standard"/>
        <w:jc w:val="both"/>
        <w:rPr>
          <w:b/>
          <w:bCs/>
        </w:rPr>
      </w:pPr>
      <w:r>
        <w:rPr>
          <w:b/>
          <w:bCs/>
        </w:rPr>
        <w:t>…..................................................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…...................................</w:t>
      </w:r>
    </w:p>
    <w:p w:rsidR="00B479A8" w:rsidRDefault="00E04067">
      <w:pPr>
        <w:pStyle w:val="Standard"/>
        <w:jc w:val="both"/>
        <w:rPr>
          <w:b/>
          <w:bCs/>
        </w:rPr>
      </w:pPr>
      <w:r>
        <w:rPr>
          <w:b/>
          <w:bCs/>
        </w:rPr>
        <w:t>…..................................................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  jegyző</w:t>
      </w:r>
    </w:p>
    <w:p w:rsidR="00B479A8" w:rsidRDefault="00E04067">
      <w:pPr>
        <w:pStyle w:val="Standard"/>
        <w:jc w:val="both"/>
        <w:rPr>
          <w:b/>
          <w:bCs/>
        </w:rPr>
      </w:pPr>
      <w:r>
        <w:rPr>
          <w:b/>
          <w:bCs/>
        </w:rPr>
        <w:t>…..................................................</w:t>
      </w:r>
    </w:p>
    <w:p w:rsidR="00B479A8" w:rsidRDefault="00E04067">
      <w:pPr>
        <w:pStyle w:val="Standard"/>
        <w:jc w:val="both"/>
      </w:pPr>
      <w:r>
        <w:rPr>
          <w:b/>
          <w:bCs/>
        </w:rPr>
        <w:t>…..................................................</w:t>
      </w:r>
    </w:p>
    <w:sectPr w:rsidR="00B479A8" w:rsidSect="00B479A8">
      <w:pgSz w:w="11906" w:h="16838"/>
      <w:pgMar w:top="800" w:right="1417" w:bottom="1238" w:left="1417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79A8" w:rsidRDefault="00B479A8" w:rsidP="00B479A8">
      <w:pPr>
        <w:spacing w:after="0" w:line="240" w:lineRule="auto"/>
      </w:pPr>
      <w:r>
        <w:separator/>
      </w:r>
    </w:p>
  </w:endnote>
  <w:endnote w:type="continuationSeparator" w:id="0">
    <w:p w:rsidR="00B479A8" w:rsidRDefault="00B479A8" w:rsidP="00B479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79A8" w:rsidRDefault="00E04067" w:rsidP="00B479A8">
      <w:pPr>
        <w:spacing w:after="0" w:line="240" w:lineRule="auto"/>
      </w:pPr>
      <w:r w:rsidRPr="00B479A8">
        <w:rPr>
          <w:color w:val="000000"/>
        </w:rPr>
        <w:separator/>
      </w:r>
    </w:p>
  </w:footnote>
  <w:footnote w:type="continuationSeparator" w:id="0">
    <w:p w:rsidR="00B479A8" w:rsidRDefault="00B479A8" w:rsidP="00B479A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479A8"/>
    <w:rsid w:val="00B479A8"/>
    <w:rsid w:val="00E040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Tahoma"/>
        <w:kern w:val="3"/>
        <w:sz w:val="22"/>
        <w:szCs w:val="22"/>
        <w:lang w:val="hu-HU" w:eastAsia="en-US" w:bidi="ar-SA"/>
      </w:rPr>
    </w:rPrDefault>
    <w:pPrDefault>
      <w:pPr>
        <w:widowControl w:val="0"/>
        <w:autoSpaceDN w:val="0"/>
        <w:spacing w:after="160" w:line="25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rsid w:val="00B479A8"/>
    <w:pPr>
      <w:suppressAutoHyphens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Standard">
    <w:name w:val="Standard"/>
    <w:rsid w:val="00B479A8"/>
    <w:pPr>
      <w:widowControl/>
      <w:suppressAutoHyphens/>
    </w:pPr>
  </w:style>
  <w:style w:type="paragraph" w:customStyle="1" w:styleId="Heading">
    <w:name w:val="Heading"/>
    <w:basedOn w:val="Standard"/>
    <w:next w:val="Textbody"/>
    <w:rsid w:val="00B479A8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rsid w:val="00B479A8"/>
    <w:pPr>
      <w:spacing w:after="120"/>
    </w:pPr>
  </w:style>
  <w:style w:type="paragraph" w:styleId="Lista">
    <w:name w:val="List"/>
    <w:basedOn w:val="Textbody"/>
    <w:rsid w:val="00B479A8"/>
    <w:rPr>
      <w:rFonts w:cs="Arial"/>
    </w:rPr>
  </w:style>
  <w:style w:type="paragraph" w:customStyle="1" w:styleId="Caption">
    <w:name w:val="Caption"/>
    <w:basedOn w:val="Standard"/>
    <w:rsid w:val="00B479A8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rsid w:val="00B479A8"/>
    <w:pPr>
      <w:suppressLineNumbers/>
    </w:pPr>
    <w:rPr>
      <w:rFonts w:cs="Arial"/>
    </w:rPr>
  </w:style>
  <w:style w:type="paragraph" w:styleId="NormlWeb">
    <w:name w:val="Normal (Web)"/>
    <w:basedOn w:val="Standard"/>
    <w:rsid w:val="00B479A8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Internetlink">
    <w:name w:val="Internet link"/>
    <w:basedOn w:val="Bekezdsalapbettpusa"/>
    <w:rsid w:val="00B479A8"/>
    <w:rPr>
      <w:color w:val="0000FF"/>
      <w:u w:val="single"/>
    </w:rPr>
  </w:style>
  <w:style w:type="character" w:customStyle="1" w:styleId="NumberingSymbols">
    <w:name w:val="Numbering Symbols"/>
    <w:rsid w:val="00B479A8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.dotm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1209</Words>
  <Characters>8347</Characters>
  <Application>Microsoft Office Word</Application>
  <DocSecurity>0</DocSecurity>
  <Lines>69</Lines>
  <Paragraphs>19</Paragraphs>
  <ScaleCrop>false</ScaleCrop>
  <Company/>
  <LinksUpToDate>false</LinksUpToDate>
  <CharactersWithSpaces>9537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Szabadságjogokért Társaság a</dc:creator>
  <cp:lastModifiedBy>user</cp:lastModifiedBy>
  <cp:revision>2</cp:revision>
  <dcterms:created xsi:type="dcterms:W3CDTF">2023-04-03T12:19:00Z</dcterms:created>
  <dcterms:modified xsi:type="dcterms:W3CDTF">2023-04-03T12:19:00Z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