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 </w:t>
      </w:r>
    </w:p>
    <w:p>
      <w:pPr>
        <w:pStyle w:val="Normal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Tisztelt Képviselő-testület!</w:t>
      </w:r>
    </w:p>
    <w:p>
      <w:pPr>
        <w:pStyle w:val="Normal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ind w:left="567" w:hanging="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</w:p>
    <w:p>
      <w:pPr>
        <w:pStyle w:val="P8"/>
        <w:spacing w:beforeAutospacing="0" w:before="0" w:after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Magyarország helyi önkormányzatairól szóló 2011. évi CLXXXIX. törvény (a továbbiakban: Mötv.) 41. § (9) bekezdése az önkormányzatok részére rendeletalkotási tárgykörré tette az államháztartáson kívüli forrás átadására és átvételére vonatkozó rendelkezések szabályozását az alábbiak szerint:</w:t>
      </w:r>
    </w:p>
    <w:p>
      <w:pPr>
        <w:pStyle w:val="Felsorols1a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„</w:t>
      </w:r>
      <w:r>
        <w:rPr>
          <w:i/>
          <w:sz w:val="22"/>
          <w:szCs w:val="22"/>
        </w:rPr>
        <w:t>(9) A helyi önkormányzat képviselő-testülete az államháztartáson kívüli forrás átvételére és átadására vonatkozó rendelkezéseket rendeletben szabályozza.”</w:t>
      </w:r>
    </w:p>
    <w:p>
      <w:pPr>
        <w:pStyle w:val="P8"/>
        <w:spacing w:beforeAutospacing="0" w:before="0" w:afterAutospacing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right" w:pos="7088" w:leader="none"/>
        </w:tabs>
        <w:jc w:val="both"/>
        <w:rPr/>
      </w:pPr>
      <w:r>
        <w:rPr>
          <w:sz w:val="22"/>
          <w:szCs w:val="22"/>
        </w:rPr>
        <w:t>Államháztartáson kívüli forrás átvétele több jogcímen lehetséges. Például közérdekű felajánlás, ajándék, öröklés útján célhoz kötötten vagy felhasználási, hasznosítási cél megjelölése nélkül.</w:t>
      </w:r>
    </w:p>
    <w:p>
      <w:pPr>
        <w:pStyle w:val="Normal"/>
        <w:tabs>
          <w:tab w:val="clear" w:pos="708"/>
          <w:tab w:val="right" w:pos="7088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A felajánlók, támogatók lehetnek az államháztartás körébe nem tartozó jogi személyek, jogi személyiséggel nem rendelkező szervezetek, vagy természetes személyek.</w:t>
      </w:r>
    </w:p>
    <w:p>
      <w:pPr>
        <w:pStyle w:val="Normal"/>
        <w:tabs>
          <w:tab w:val="clear" w:pos="708"/>
          <w:tab w:val="right" w:pos="7088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Nem tartozik ide az önkormányzati rendeletekben szabályozott szociális támogatások, helyi önszerveződő közösségek támogatása, tekintettel arra, hogy azok támogatása államháztartási forrásból történik.</w:t>
      </w:r>
    </w:p>
    <w:p>
      <w:pPr>
        <w:pStyle w:val="Normal"/>
        <w:tabs>
          <w:tab w:val="clear" w:pos="708"/>
          <w:tab w:val="right" w:pos="7088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right" w:pos="7088" w:leader="none"/>
        </w:tabs>
        <w:jc w:val="both"/>
        <w:rPr/>
      </w:pPr>
      <w:r>
        <w:rPr>
          <w:sz w:val="22"/>
          <w:szCs w:val="22"/>
        </w:rPr>
        <w:t>A törvényi rendelkezés értelmében önkormányzati rendeletben szükséges szabályozni az államháztartáson kívüli forrás átadás és átvétel szabályait, melynek keretében – az alapítványi pénzeszköz átadás és átvétel kivételével – a hatáskör a képviselő-testület hatásköréből átruházható.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ind w:left="0" w:hanging="72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RÉSZLETES INDOKOLÁS</w:t>
      </w:r>
    </w:p>
    <w:p>
      <w:pPr>
        <w:pStyle w:val="ListParagraph"/>
        <w:ind w:left="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ListParagraph"/>
        <w:ind w:left="0" w:hanging="0"/>
        <w:jc w:val="both"/>
        <w:rPr/>
      </w:pPr>
      <w:r>
        <w:rPr>
          <w:bCs/>
          <w:sz w:val="22"/>
          <w:szCs w:val="22"/>
        </w:rPr>
        <w:t>Az 1. §  a rendelet  hatályát határozza meg.</w:t>
      </w:r>
    </w:p>
    <w:p>
      <w:pPr>
        <w:pStyle w:val="ListParagraph"/>
        <w:ind w:left="0" w:hang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ListParagraph"/>
        <w:ind w:left="0" w:hanging="0"/>
        <w:jc w:val="both"/>
        <w:rPr/>
      </w:pPr>
      <w:r>
        <w:rPr>
          <w:bCs/>
          <w:sz w:val="22"/>
          <w:szCs w:val="22"/>
        </w:rPr>
        <w:t>A rendelet 2. §-a általános  rendelkezést tartalmaz.</w:t>
      </w:r>
    </w:p>
    <w:p>
      <w:pPr>
        <w:pStyle w:val="ListParagraph"/>
        <w:ind w:left="0" w:hang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ListParagraph"/>
        <w:ind w:left="0" w:hanging="0"/>
        <w:jc w:val="both"/>
        <w:rPr/>
      </w:pPr>
      <w:r>
        <w:rPr>
          <w:bCs/>
          <w:sz w:val="22"/>
          <w:szCs w:val="22"/>
        </w:rPr>
        <w:t>A 3-6. §  az államháztartáson kívüli forrás átadására vonatkozó  részletes szabályokat határozza meg.</w:t>
      </w:r>
    </w:p>
    <w:p>
      <w:pPr>
        <w:pStyle w:val="ListParagraph"/>
        <w:ind w:left="0" w:hang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ListParagraph"/>
        <w:ind w:left="0" w:hanging="0"/>
        <w:jc w:val="both"/>
        <w:rPr/>
      </w:pPr>
      <w:r>
        <w:rPr>
          <w:bCs/>
          <w:sz w:val="22"/>
          <w:szCs w:val="22"/>
        </w:rPr>
        <w:t xml:space="preserve">A 7. §  a közzététel szabályát tartalmazza. </w:t>
      </w:r>
    </w:p>
    <w:p>
      <w:pPr>
        <w:pStyle w:val="ListParagraph"/>
        <w:ind w:left="0" w:hang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ListParagraph"/>
        <w:ind w:left="0" w:hanging="0"/>
        <w:jc w:val="both"/>
        <w:rPr/>
      </w:pPr>
      <w:r>
        <w:rPr>
          <w:bCs/>
          <w:sz w:val="22"/>
          <w:szCs w:val="22"/>
        </w:rPr>
        <w:t xml:space="preserve">Az 8. § a pénzeszköz átvételének feltételeit határozza meg. </w:t>
      </w:r>
    </w:p>
    <w:p>
      <w:pPr>
        <w:pStyle w:val="ListParagraph"/>
        <w:ind w:left="0" w:hang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ListParagraph"/>
        <w:ind w:left="0" w:hanging="0"/>
        <w:jc w:val="both"/>
        <w:rPr/>
      </w:pPr>
      <w:r>
        <w:rPr>
          <w:bCs/>
          <w:sz w:val="22"/>
          <w:szCs w:val="22"/>
        </w:rPr>
        <w:t xml:space="preserve">A  9. § tartalmazza a záró rendelkezéseket. </w:t>
      </w:r>
    </w:p>
    <w:p>
      <w:pPr>
        <w:pStyle w:val="ListParagraph"/>
        <w:ind w:left="0" w:hang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ind w:left="0" w:hanging="72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ELŐZETES HATÁSVIZSGÁLAT</w:t>
      </w:r>
    </w:p>
    <w:p>
      <w:pPr>
        <w:pStyle w:val="ListParagraph"/>
        <w:ind w:left="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i/>
          <w:sz w:val="22"/>
          <w:szCs w:val="22"/>
        </w:rPr>
        <w:t>A jogalkotásról</w:t>
      </w:r>
      <w:r>
        <w:rPr>
          <w:sz w:val="22"/>
          <w:szCs w:val="22"/>
        </w:rPr>
        <w:t xml:space="preserve"> szóló 2010. évi CXXX. törvény 17. §-a alapján, az előzetes hatásvizsgálattal a jogszabály előkészítője felméri a szabályozás várható következményeit. Önkormányzati rendelet esetén a helyi önkormányzat képviselő-testületét az előzetes hatásvizsgálat eredményéről tájékoztatni kell. Ugyanezen törvény 17. § (2) bekezdése értelmében, a hatásvizsgálat során vizsgálni kell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567" w:hanging="283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a) </w:t>
      </w:r>
      <w:r>
        <w:rPr>
          <w:sz w:val="22"/>
          <w:szCs w:val="22"/>
        </w:rPr>
        <w:t>a tervezett jogszabály valamennyi jelentősnek ítélt hatását, különösen</w:t>
      </w:r>
    </w:p>
    <w:p>
      <w:pPr>
        <w:pStyle w:val="Normal"/>
        <w:ind w:left="1134" w:hanging="283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aa) </w:t>
      </w:r>
      <w:r>
        <w:rPr>
          <w:sz w:val="22"/>
          <w:szCs w:val="22"/>
        </w:rPr>
        <w:t>társadalmi, gazdasági, költségvetési hatásait,</w:t>
      </w:r>
    </w:p>
    <w:p>
      <w:pPr>
        <w:pStyle w:val="Normal"/>
        <w:ind w:left="1134" w:hanging="283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ab) </w:t>
      </w:r>
      <w:r>
        <w:rPr>
          <w:sz w:val="22"/>
          <w:szCs w:val="22"/>
        </w:rPr>
        <w:t>környezeti és egészségi következményeit,</w:t>
      </w:r>
    </w:p>
    <w:p>
      <w:pPr>
        <w:pStyle w:val="Normal"/>
        <w:ind w:left="1134" w:hanging="283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ac) </w:t>
      </w:r>
      <w:r>
        <w:rPr>
          <w:sz w:val="22"/>
          <w:szCs w:val="22"/>
        </w:rPr>
        <w:t>adminisztratív terheket befolyásoló hatásait, valamint</w:t>
      </w:r>
    </w:p>
    <w:p>
      <w:pPr>
        <w:pStyle w:val="Normal"/>
        <w:ind w:left="567" w:hanging="283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b) </w:t>
      </w:r>
      <w:r>
        <w:rPr>
          <w:sz w:val="22"/>
          <w:szCs w:val="22"/>
        </w:rPr>
        <w:t>a jogszabály megalkotásának szükségességét, a jogalkotás elmaradásának várható következményeit, és</w:t>
      </w:r>
    </w:p>
    <w:p>
      <w:pPr>
        <w:pStyle w:val="Normal"/>
        <w:ind w:firstLine="284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c) </w:t>
      </w:r>
      <w:r>
        <w:rPr>
          <w:sz w:val="22"/>
          <w:szCs w:val="22"/>
        </w:rPr>
        <w:t>a jogszabály alkalmazásához szükséges személyi, szervezeti, tárgyi és pénzügyi feltételeket.</w:t>
      </w:r>
    </w:p>
    <w:p>
      <w:pPr>
        <w:pStyle w:val="Normal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 tervezett jogszabály várható következményei, különösen</w:t>
      </w:r>
    </w:p>
    <w:p>
      <w:pPr>
        <w:pStyle w:val="Normal"/>
        <w:ind w:left="567" w:hanging="0"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ListParagraph"/>
        <w:numPr>
          <w:ilvl w:val="0"/>
          <w:numId w:val="2"/>
        </w:numPr>
        <w:ind w:left="426" w:hanging="426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A rendeletalkotás társadalmi, gazdasági, költségvetési hatásai: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A rendelet szabályozza az államháztartáson kívüli források átadását és átvételét, amely által nyomon követhető a közpénzek célnak megfelelő felhasználás, elszámolása. Az államháztartáson kívüli forrás fedezetét, az átvett forrást a mindenkori költségvetési rendelet tartalmazza.</w:t>
      </w:r>
    </w:p>
    <w:p>
      <w:pPr>
        <w:pStyle w:val="Msonormalcxspmiddle"/>
        <w:spacing w:beforeAutospacing="0" w:before="0" w:afterAutospacing="0" w:after="0"/>
        <w:ind w:left="1080" w:hang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Msonormalcxspmiddle"/>
        <w:numPr>
          <w:ilvl w:val="0"/>
          <w:numId w:val="2"/>
        </w:numPr>
        <w:spacing w:beforeAutospacing="0" w:before="0" w:afterAutospacing="0" w:after="0"/>
        <w:ind w:left="426" w:hanging="426"/>
        <w:jc w:val="both"/>
        <w:rPr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 xml:space="preserve">környezeti következményei: </w:t>
      </w:r>
      <w:r>
        <w:rPr>
          <w:bCs/>
          <w:sz w:val="22"/>
          <w:szCs w:val="22"/>
        </w:rPr>
        <w:t xml:space="preserve">Közvetlen környezeti hatása nincs a rendeletnek. </w:t>
      </w:r>
      <w:r>
        <w:rPr>
          <w:b/>
          <w:bCs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>
      <w:pPr>
        <w:pStyle w:val="Msonormalcxspmiddle"/>
        <w:spacing w:beforeAutospacing="0" w:before="0" w:afterAutospacing="0" w:after="0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Msonormalcxspmiddle"/>
        <w:numPr>
          <w:ilvl w:val="0"/>
          <w:numId w:val="2"/>
        </w:numPr>
        <w:spacing w:beforeAutospacing="0" w:before="0" w:afterAutospacing="0" w:after="0"/>
        <w:ind w:left="426" w:hanging="426"/>
        <w:jc w:val="both"/>
        <w:rPr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 xml:space="preserve">egészségi következményei: </w:t>
      </w:r>
      <w:r>
        <w:rPr>
          <w:bCs/>
          <w:sz w:val="22"/>
          <w:szCs w:val="22"/>
        </w:rPr>
        <w:t xml:space="preserve">Közvetlen egészségi hatása nincs a rendeletnek. </w:t>
      </w:r>
      <w:r>
        <w:rPr>
          <w:b/>
          <w:bCs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>
      <w:pPr>
        <w:pStyle w:val="Normal"/>
        <w:ind w:left="426" w:hanging="42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zvegtrzsbehzssal22"/>
        <w:numPr>
          <w:ilvl w:val="0"/>
          <w:numId w:val="2"/>
        </w:numPr>
        <w:ind w:left="426" w:hanging="426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adminisztratív terheket befolyásoló hatásai: </w:t>
      </w:r>
      <w:r>
        <w:rPr>
          <w:sz w:val="22"/>
          <w:szCs w:val="22"/>
        </w:rPr>
        <w:t>A rendelet megalkotásának az adminisztratív terheket tekintve számottevő hatása nincs.</w:t>
      </w:r>
    </w:p>
    <w:p>
      <w:pPr>
        <w:pStyle w:val="Normal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426" w:hanging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V. megalkotásának szükségessége, a jogalkotás elmaradásának várható következményei: </w:t>
      </w:r>
      <w:r>
        <w:rPr>
          <w:sz w:val="22"/>
          <w:szCs w:val="22"/>
        </w:rPr>
        <w:t>A képviselő-testületnek rendeletalkotási kötelezettsége áll fenn a Magyarország helyi önkormányzatairól szóló 2011. évi CLXXXIX. törvény 41. § (9) bekezdése alapján.</w:t>
      </w:r>
    </w:p>
    <w:p>
      <w:pPr>
        <w:pStyle w:val="Normal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zvegtrzsbehzsa"/>
        <w:spacing w:before="0" w:after="0"/>
        <w:ind w:left="426" w:hanging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VI. alkalmazásához szükséges személyi, szervezeti, tárgyi és pénzügyi feltételek: </w:t>
      </w:r>
      <w:r>
        <w:rPr>
          <w:sz w:val="22"/>
          <w:szCs w:val="22"/>
        </w:rPr>
        <w:t>A rendelet végrehajtásához szükséges erőforrások rendelkezésre állnak, pótlólagos személyi, szervezeti, tárgyi és pénzügyi forrásokat nem követel meg.</w:t>
      </w:r>
    </w:p>
    <w:p>
      <w:pPr>
        <w:pStyle w:val="JogtrNormlTrzs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JogtrNormlTrzs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Tisztelt Képviselő-testület!</w:t>
      </w:r>
    </w:p>
    <w:p>
      <w:pPr>
        <w:pStyle w:val="JogtrNormlTrzs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JogtrNormlTrzs"/>
        <w:ind w:left="567" w:hanging="0"/>
        <w:rPr>
          <w:sz w:val="22"/>
          <w:szCs w:val="22"/>
        </w:rPr>
      </w:pPr>
      <w:r>
        <w:rPr>
          <w:sz w:val="22"/>
          <w:szCs w:val="22"/>
        </w:rPr>
        <w:t>Kérem a rendelet tervezet megvitatását és annak elfogadását!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/>
      </w:pPr>
      <w:r>
        <w:rPr>
          <w:b/>
          <w:sz w:val="22"/>
          <w:szCs w:val="22"/>
        </w:rPr>
        <w:t xml:space="preserve">Nóráp </w:t>
      </w:r>
      <w:r>
        <w:rPr>
          <w:b/>
          <w:sz w:val="22"/>
          <w:szCs w:val="22"/>
        </w:rPr>
        <w:t xml:space="preserve"> 2019. május 8. </w:t>
        <w:tab/>
        <w:tab/>
        <w:tab/>
        <w:tab/>
        <w:tab/>
        <w:tab/>
        <w:tab/>
        <w:tab/>
        <w:tab/>
        <w:t xml:space="preserve"> 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/>
      </w:pPr>
      <w:r>
        <w:rPr>
          <w:b/>
          <w:sz w:val="22"/>
          <w:szCs w:val="22"/>
        </w:rPr>
        <w:tab/>
        <w:tab/>
        <w:tab/>
        <w:tab/>
        <w:tab/>
        <w:tab/>
        <w:tab/>
        <w:tab/>
      </w:r>
      <w:r>
        <w:rPr>
          <w:b/>
          <w:sz w:val="22"/>
          <w:szCs w:val="22"/>
        </w:rPr>
        <w:t>Antalné Ihász Mária</w:t>
      </w:r>
    </w:p>
    <w:p>
      <w:pPr>
        <w:pStyle w:val="Normal"/>
        <w:jc w:val="both"/>
        <w:rPr/>
      </w:pPr>
      <w:r>
        <w:rPr>
          <w:b/>
          <w:sz w:val="22"/>
          <w:szCs w:val="22"/>
        </w:rPr>
        <w:tab/>
        <w:tab/>
        <w:tab/>
        <w:tab/>
        <w:tab/>
        <w:tab/>
        <w:tab/>
        <w:tab/>
        <w:t xml:space="preserve">       polgármester</w:t>
      </w:r>
    </w:p>
    <w:p>
      <w:pPr>
        <w:pStyle w:val="Normal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Cmsor1"/>
        <w:ind w:left="0" w:right="126" w:hanging="0"/>
        <w:rPr>
          <w:bCs/>
          <w:i/>
          <w:i/>
          <w:color w:val="000000"/>
          <w:spacing w:val="-4"/>
          <w:sz w:val="20"/>
          <w:szCs w:val="20"/>
        </w:rPr>
      </w:pPr>
      <w:r>
        <w:rPr>
          <w:bCs/>
          <w:i/>
          <w:color w:val="000000"/>
          <w:spacing w:val="-4"/>
          <w:sz w:val="20"/>
          <w:szCs w:val="20"/>
        </w:rPr>
      </w:r>
    </w:p>
    <w:p>
      <w:pPr>
        <w:pStyle w:val="Normal"/>
        <w:ind w:left="0" w:right="126" w:hanging="0"/>
        <w:rPr>
          <w:bCs/>
          <w:i/>
          <w:i/>
          <w:color w:val="000000"/>
          <w:spacing w:val="-4"/>
          <w:sz w:val="20"/>
          <w:szCs w:val="20"/>
        </w:rPr>
      </w:pPr>
      <w:r>
        <w:rPr>
          <w:bCs/>
          <w:i/>
          <w:color w:val="000000"/>
          <w:spacing w:val="-4"/>
          <w:sz w:val="20"/>
          <w:szCs w:val="20"/>
        </w:rPr>
      </w:r>
    </w:p>
    <w:p>
      <w:pPr>
        <w:pStyle w:val="Normal"/>
        <w:ind w:left="0" w:right="126" w:hanging="0"/>
        <w:rPr>
          <w:bCs/>
          <w:i/>
          <w:i/>
          <w:color w:val="000000"/>
          <w:spacing w:val="-4"/>
          <w:sz w:val="20"/>
          <w:szCs w:val="20"/>
        </w:rPr>
      </w:pPr>
      <w:r>
        <w:rPr>
          <w:bCs/>
          <w:i/>
          <w:color w:val="000000"/>
          <w:spacing w:val="-4"/>
          <w:sz w:val="20"/>
          <w:szCs w:val="20"/>
        </w:rPr>
      </w:r>
    </w:p>
    <w:p>
      <w:pPr>
        <w:pStyle w:val="Normal"/>
        <w:ind w:left="0" w:right="126" w:hanging="0"/>
        <w:rPr>
          <w:bCs/>
          <w:i/>
          <w:i/>
          <w:color w:val="000000"/>
          <w:spacing w:val="-4"/>
          <w:sz w:val="20"/>
          <w:szCs w:val="20"/>
        </w:rPr>
      </w:pPr>
      <w:r>
        <w:rPr>
          <w:bCs/>
          <w:i/>
          <w:color w:val="000000"/>
          <w:spacing w:val="-4"/>
          <w:sz w:val="20"/>
          <w:szCs w:val="20"/>
        </w:rPr>
      </w:r>
    </w:p>
    <w:p>
      <w:pPr>
        <w:pStyle w:val="Normal"/>
        <w:ind w:left="0" w:right="126" w:hanging="0"/>
        <w:rPr>
          <w:bCs/>
          <w:i/>
          <w:i/>
          <w:color w:val="000000"/>
          <w:spacing w:val="-4"/>
          <w:sz w:val="20"/>
          <w:szCs w:val="20"/>
        </w:rPr>
      </w:pPr>
      <w:r>
        <w:rPr>
          <w:bCs/>
          <w:i/>
          <w:color w:val="000000"/>
          <w:spacing w:val="-4"/>
          <w:sz w:val="20"/>
          <w:szCs w:val="20"/>
        </w:rPr>
      </w:r>
    </w:p>
    <w:p>
      <w:pPr>
        <w:pStyle w:val="Normal"/>
        <w:ind w:left="0" w:right="126" w:hanging="0"/>
        <w:rPr>
          <w:bCs/>
          <w:i/>
          <w:i/>
          <w:color w:val="000000"/>
          <w:spacing w:val="-4"/>
          <w:sz w:val="20"/>
          <w:szCs w:val="20"/>
        </w:rPr>
      </w:pPr>
      <w:r>
        <w:rPr>
          <w:bCs/>
          <w:i/>
          <w:color w:val="000000"/>
          <w:spacing w:val="-4"/>
          <w:sz w:val="20"/>
          <w:szCs w:val="20"/>
        </w:rPr>
      </w:r>
    </w:p>
    <w:p>
      <w:pPr>
        <w:pStyle w:val="Normal"/>
        <w:ind w:left="0" w:right="126" w:hanging="0"/>
        <w:rPr>
          <w:bCs/>
          <w:i/>
          <w:i/>
          <w:color w:val="000000"/>
          <w:spacing w:val="-4"/>
          <w:sz w:val="20"/>
          <w:szCs w:val="20"/>
        </w:rPr>
      </w:pPr>
      <w:r>
        <w:rPr>
          <w:bCs/>
          <w:i/>
          <w:color w:val="000000"/>
          <w:spacing w:val="-4"/>
          <w:sz w:val="20"/>
          <w:szCs w:val="20"/>
        </w:rPr>
      </w:r>
    </w:p>
    <w:p>
      <w:pPr>
        <w:pStyle w:val="Normal"/>
        <w:ind w:left="0" w:right="126" w:hanging="0"/>
        <w:rPr>
          <w:bCs/>
          <w:i/>
          <w:i/>
          <w:color w:val="000000"/>
          <w:spacing w:val="-4"/>
          <w:sz w:val="20"/>
          <w:szCs w:val="20"/>
        </w:rPr>
      </w:pPr>
      <w:r>
        <w:rPr>
          <w:bCs/>
          <w:i/>
          <w:color w:val="000000"/>
          <w:spacing w:val="-4"/>
          <w:sz w:val="20"/>
          <w:szCs w:val="20"/>
        </w:rPr>
      </w:r>
    </w:p>
    <w:p>
      <w:pPr>
        <w:pStyle w:val="Normal"/>
        <w:ind w:left="0" w:right="126" w:hanging="0"/>
        <w:rPr>
          <w:bCs/>
          <w:i/>
          <w:i/>
          <w:color w:val="000000"/>
          <w:spacing w:val="-4"/>
          <w:sz w:val="20"/>
          <w:szCs w:val="20"/>
        </w:rPr>
      </w:pPr>
      <w:r>
        <w:rPr>
          <w:bCs/>
          <w:i/>
          <w:color w:val="000000"/>
          <w:spacing w:val="-4"/>
          <w:sz w:val="20"/>
          <w:szCs w:val="20"/>
        </w:rPr>
      </w:r>
    </w:p>
    <w:p>
      <w:pPr>
        <w:pStyle w:val="Normal"/>
        <w:ind w:left="0" w:right="126" w:hanging="0"/>
        <w:rPr>
          <w:bCs/>
          <w:i/>
          <w:i/>
          <w:color w:val="000000"/>
          <w:spacing w:val="-4"/>
          <w:sz w:val="20"/>
          <w:szCs w:val="20"/>
        </w:rPr>
      </w:pPr>
      <w:r>
        <w:rPr>
          <w:bCs/>
          <w:i/>
          <w:color w:val="000000"/>
          <w:spacing w:val="-4"/>
          <w:sz w:val="20"/>
          <w:szCs w:val="20"/>
        </w:rPr>
      </w:r>
    </w:p>
    <w:p>
      <w:pPr>
        <w:pStyle w:val="Normal"/>
        <w:ind w:left="0" w:right="126" w:hanging="0"/>
        <w:rPr>
          <w:bCs/>
          <w:i/>
          <w:i/>
          <w:color w:val="000000"/>
          <w:spacing w:val="-4"/>
          <w:sz w:val="20"/>
          <w:szCs w:val="20"/>
        </w:rPr>
      </w:pPr>
      <w:r>
        <w:rPr>
          <w:bCs/>
          <w:i/>
          <w:color w:val="000000"/>
          <w:spacing w:val="-4"/>
          <w:sz w:val="20"/>
          <w:szCs w:val="20"/>
        </w:rPr>
      </w:r>
    </w:p>
    <w:p>
      <w:pPr>
        <w:pStyle w:val="Normal"/>
        <w:ind w:left="0" w:right="126" w:hanging="0"/>
        <w:rPr>
          <w:bCs/>
          <w:i/>
          <w:i/>
          <w:color w:val="000000"/>
          <w:spacing w:val="-4"/>
          <w:sz w:val="20"/>
          <w:szCs w:val="20"/>
        </w:rPr>
      </w:pPr>
      <w:r>
        <w:rPr>
          <w:bCs/>
          <w:i/>
          <w:color w:val="000000"/>
          <w:spacing w:val="-4"/>
          <w:sz w:val="20"/>
          <w:szCs w:val="20"/>
        </w:rPr>
      </w:r>
    </w:p>
    <w:p>
      <w:pPr>
        <w:sectPr>
          <w:footerReference w:type="default" r:id="rId2"/>
          <w:type w:val="nextPage"/>
          <w:pgSz w:w="11906" w:h="16838"/>
          <w:pgMar w:left="1418" w:right="1701" w:header="720" w:top="1134" w:footer="1021" w:bottom="1418" w:gutter="0"/>
          <w:pgNumType w:start="1" w:fmt="decimal"/>
          <w:formProt w:val="false"/>
          <w:textDirection w:val="lrTb"/>
          <w:docGrid w:type="default" w:linePitch="100" w:charSpace="0"/>
        </w:sectPr>
        <w:pStyle w:val="Normal"/>
        <w:ind w:left="0" w:right="126" w:hanging="0"/>
        <w:rPr>
          <w:bCs/>
          <w:i/>
          <w:i/>
          <w:color w:val="000000"/>
          <w:spacing w:val="-4"/>
          <w:sz w:val="20"/>
          <w:szCs w:val="20"/>
        </w:rPr>
      </w:pPr>
      <w:r>
        <w:rPr>
          <w:bCs/>
          <w:i/>
          <w:color w:val="000000"/>
          <w:spacing w:val="-4"/>
          <w:sz w:val="20"/>
          <w:szCs w:val="20"/>
        </w:rPr>
      </w:r>
    </w:p>
    <w:p>
      <w:pPr>
        <w:pStyle w:val="Normal"/>
        <w:jc w:val="center"/>
        <w:rPr/>
      </w:pPr>
      <w:r>
        <w:rPr>
          <w:b/>
          <w:bCs/>
        </w:rPr>
        <w:t xml:space="preserve">Nóráp </w:t>
      </w:r>
      <w:r>
        <w:rPr>
          <w:b/>
          <w:bCs/>
        </w:rPr>
        <w:t xml:space="preserve">   Község Önkormányzat Képviselő-testületének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…</w:t>
      </w:r>
      <w:r>
        <w:rPr>
          <w:b/>
          <w:bCs/>
        </w:rPr>
        <w:t>./2019.(…...) önkormányzati rendelete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az államháztartáson kívüli forrás átadás-átvételének szabályairól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 xml:space="preserve">Nóráp </w:t>
      </w:r>
      <w:r>
        <w:rPr/>
        <w:t xml:space="preserve">   község Önkormányzat Képviselő-testülete a Magyarország helyi önkormányzatairól szóló 2011. évi CLXXXIX. törvény 42. §. (9) bekezdésében kapott felhatalmazás alapján, az Alaptörvény  32. cikk (1) bekezdés a)pontjában meghatározott feladatkörében eljárva a következőket rendeli el: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1. A rendelet hatálya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1. §.</w:t>
      </w:r>
    </w:p>
    <w:p>
      <w:pPr>
        <w:pStyle w:val="Normal"/>
        <w:jc w:val="both"/>
        <w:rPr/>
      </w:pPr>
      <w:r>
        <w:rPr/>
        <w:t xml:space="preserve">(1) A rendelet hatálya kiterjed mindazon természetes személyekre, az államháztartás körébe nem tartozó  jogi személyekre, jogi személyiséggel nem rendelkező szervezetekre, akik részére </w:t>
      </w:r>
      <w:r>
        <w:rPr/>
        <w:t xml:space="preserve">Nóráp </w:t>
      </w:r>
      <w:r>
        <w:rPr/>
        <w:t xml:space="preserve">  község Önkormányzat (továbbiakban Önkormányzat)  pénzeszközt ad át, vagy akitől pénzeszközt vesz át.</w:t>
      </w:r>
    </w:p>
    <w:p>
      <w:pPr>
        <w:pStyle w:val="Normal"/>
        <w:jc w:val="both"/>
        <w:rPr/>
      </w:pPr>
      <w:r>
        <w:rPr/>
        <w:t>(2) A rendelet hatálya nem terjed ki a magánszemélyeknek juttatott segélyekre, adományokra, ösztöndíjakra, valamint közfeladat ellátására kötött megállapodás keretében átadott pénzeszközökre.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2. Általános rendelkezések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2.§.</w:t>
      </w:r>
    </w:p>
    <w:p>
      <w:pPr>
        <w:pStyle w:val="Normal"/>
        <w:jc w:val="both"/>
        <w:rPr/>
      </w:pPr>
      <w:r>
        <w:rPr/>
        <w:t>(1) Az önkormányzat tárgyévi költségvetési rendeletében határozza meg azon költségvetési előirányzatait, amelyek terhére felhalmozási vagy működési célú pénzeszköz adható.</w:t>
      </w:r>
    </w:p>
    <w:p>
      <w:pPr>
        <w:pStyle w:val="Normal"/>
        <w:jc w:val="both"/>
        <w:rPr/>
      </w:pPr>
      <w:r>
        <w:rPr/>
        <w:t>(2) A költségvetési rendeletben meghatározott előirányzat terhére céljelleggel támogatást nyújthat az önkormányzat.</w:t>
      </w:r>
    </w:p>
    <w:p>
      <w:pPr>
        <w:pStyle w:val="Normal"/>
        <w:jc w:val="both"/>
        <w:rPr/>
      </w:pPr>
      <w:r>
        <w:rPr/>
        <w:t>(3) Támogatásban részesülhet:</w:t>
      </w:r>
    </w:p>
    <w:p>
      <w:pPr>
        <w:pStyle w:val="Normal"/>
        <w:jc w:val="both"/>
        <w:rPr/>
      </w:pPr>
      <w:r>
        <w:rPr/>
        <w:tab/>
        <w:t xml:space="preserve">a.) akinek javára az önkormányzat mindenkori költségvetési rendeletének előirányzatában    </w:t>
        <w:tab/>
        <w:t>címzett támogatás került megállapításra</w:t>
      </w:r>
    </w:p>
    <w:p>
      <w:pPr>
        <w:pStyle w:val="Normal"/>
        <w:jc w:val="both"/>
        <w:rPr/>
      </w:pPr>
      <w:r>
        <w:rPr/>
        <w:tab/>
        <w:t>b.) aki az Önkormányzathoz támogatási kérelmet nyújtott be.</w:t>
      </w:r>
    </w:p>
    <w:p>
      <w:pPr>
        <w:pStyle w:val="Normal"/>
        <w:jc w:val="both"/>
        <w:rPr/>
      </w:pPr>
      <w:r>
        <w:rPr/>
        <w:t>(4) A pénzeszköz átadása, átvétele során, az eljárás valamennyi szakaszában figyelemmel kell lenni a közpénzekből nyújtott támogatások átláthatóságáról szóló 2007. évi CLXXXI. törvény szabályaira.</w:t>
      </w:r>
    </w:p>
    <w:p>
      <w:pPr>
        <w:pStyle w:val="Normal"/>
        <w:jc w:val="both"/>
        <w:rPr/>
      </w:pPr>
      <w:r>
        <w:rPr/>
        <w:t>(5) A támogatás iránti kérelemhez csatolni kell</w:t>
      </w:r>
    </w:p>
    <w:p>
      <w:pPr>
        <w:pStyle w:val="Normal"/>
        <w:jc w:val="both"/>
        <w:rPr/>
      </w:pPr>
      <w:r>
        <w:rPr/>
        <w:tab/>
        <w:t>a) összeférhetetlenségi nyilatkozatot</w:t>
      </w:r>
    </w:p>
    <w:p>
      <w:pPr>
        <w:pStyle w:val="Normal"/>
        <w:jc w:val="both"/>
        <w:rPr/>
      </w:pPr>
      <w:r>
        <w:rPr/>
        <w:tab/>
        <w:t xml:space="preserve">b) nyilatkozat arról, hogy a kérelmezőnek nincs 60 napon túli meg nem fizetett köztartozása, </w:t>
        <w:tab/>
        <w:t xml:space="preserve">    illetve a kérelmező nem áll csőd-, felszámolási vagy végelszámolási eljárás alatt.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3. A pénzeszköz átadás feltételei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 xml:space="preserve">3.§. </w:t>
      </w:r>
    </w:p>
    <w:p>
      <w:pPr>
        <w:pStyle w:val="Normal"/>
        <w:jc w:val="both"/>
        <w:rPr/>
      </w:pPr>
      <w:r>
        <w:rPr/>
        <w:t>(1) Az államháztartáson kivülre történő pénzeszköz átadására egyedi kérelem alapján kerülhet sor, amennyiben a  költségvetési rendeletben előirányzat nem szerepelt.</w:t>
      </w:r>
    </w:p>
    <w:p>
      <w:pPr>
        <w:pStyle w:val="Normal"/>
        <w:jc w:val="both"/>
        <w:rPr/>
      </w:pPr>
      <w:r>
        <w:rPr/>
        <w:t>(2) A kérelemről a képviselő-testület külön határozatban dönt.</w:t>
      </w:r>
    </w:p>
    <w:p>
      <w:pPr>
        <w:pStyle w:val="Normal"/>
        <w:jc w:val="both"/>
        <w:rPr/>
      </w:pPr>
      <w:r>
        <w:rPr/>
        <w:t>(3) A döntésnek tartalmaznia kell</w:t>
      </w:r>
    </w:p>
    <w:p>
      <w:pPr>
        <w:pStyle w:val="Normal"/>
        <w:jc w:val="both"/>
        <w:rPr/>
      </w:pPr>
      <w:r>
        <w:rPr/>
        <w:tab/>
        <w:t>a) támogatott nevét</w:t>
      </w:r>
    </w:p>
    <w:p>
      <w:pPr>
        <w:pStyle w:val="Normal"/>
        <w:jc w:val="both"/>
        <w:rPr/>
      </w:pPr>
      <w:r>
        <w:rPr/>
        <w:tab/>
        <w:t>b) támogatás összegét, célját</w:t>
      </w:r>
    </w:p>
    <w:p>
      <w:pPr>
        <w:pStyle w:val="Normal"/>
        <w:jc w:val="both"/>
        <w:rPr/>
      </w:pPr>
      <w:r>
        <w:rPr/>
        <w:t>c) kifizetés módját.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 xml:space="preserve">4.§. </w:t>
      </w:r>
    </w:p>
    <w:p>
      <w:pPr>
        <w:pStyle w:val="Normal"/>
        <w:jc w:val="both"/>
        <w:rPr/>
      </w:pPr>
      <w:r>
        <w:rPr/>
        <w:t>(1) A 3. §. (2) bekezdés szerinti döntést követően a pénzeszköz átadásáról megállapodást kell kötni. A pénzeszköz kifizetésére a megállapodás létrejöttét követően kerülhet sor.</w:t>
      </w:r>
    </w:p>
    <w:p>
      <w:pPr>
        <w:pStyle w:val="Normal"/>
        <w:jc w:val="both"/>
        <w:rPr/>
      </w:pPr>
      <w:r>
        <w:rPr/>
        <w:t>(2) A megállapodásnak tartalmaznia kell:</w:t>
      </w:r>
    </w:p>
    <w:p>
      <w:pPr>
        <w:pStyle w:val="Normal"/>
        <w:jc w:val="both"/>
        <w:rPr/>
      </w:pPr>
      <w:r>
        <w:rPr/>
        <w:t>a.) a megállapodó felek megnevezését, címét, képviseletében eljáró személyeket</w:t>
      </w:r>
    </w:p>
    <w:p>
      <w:pPr>
        <w:pStyle w:val="Normal"/>
        <w:jc w:val="both"/>
        <w:rPr/>
      </w:pPr>
      <w:r>
        <w:rPr/>
        <w:t>b.) a pénzeszköz nyújtásáról szóló határozat megjelölését, a pénzeszköz összegét</w:t>
      </w:r>
    </w:p>
    <w:p>
      <w:pPr>
        <w:pStyle w:val="Normal"/>
        <w:jc w:val="both"/>
        <w:rPr/>
      </w:pPr>
      <w:r>
        <w:rPr/>
        <w:t>c.) a pénzügyi teljesítés határidejét, ütemezését,</w:t>
      </w:r>
    </w:p>
    <w:p>
      <w:pPr>
        <w:pStyle w:val="Normal"/>
        <w:jc w:val="both"/>
        <w:rPr/>
      </w:pPr>
      <w:r>
        <w:rPr/>
        <w:t>d.) a pénzeszköz felhasználásának célját</w:t>
      </w:r>
    </w:p>
    <w:p>
      <w:pPr>
        <w:pStyle w:val="Normal"/>
        <w:jc w:val="both"/>
        <w:rPr/>
      </w:pPr>
      <w:r>
        <w:rPr/>
        <w:t>e.) a pénzeszköz felhasználásának határidejét</w:t>
      </w:r>
    </w:p>
    <w:p>
      <w:pPr>
        <w:pStyle w:val="Normal"/>
        <w:jc w:val="both"/>
        <w:rPr/>
      </w:pPr>
      <w:r>
        <w:rPr/>
        <w:t>f.) a pénzügyi elszámolás módját, helyét, idejét.</w:t>
      </w:r>
    </w:p>
    <w:p>
      <w:pPr>
        <w:pStyle w:val="Normal"/>
        <w:jc w:val="both"/>
        <w:rPr/>
      </w:pPr>
      <w:r>
        <w:rPr/>
        <w:t>g.) A nem cél szerinti felhasználás esetén a visszatérítési kötelezettséget, a visszatérítés határidejét.</w:t>
      </w:r>
    </w:p>
    <w:p>
      <w:pPr>
        <w:pStyle w:val="Normal"/>
        <w:jc w:val="both"/>
        <w:rPr/>
      </w:pPr>
      <w:r>
        <w:rPr/>
        <w:t>h.) a megállapodásban vállalt kötelezettségek nem teljesítésének következményeit.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5.§.</w:t>
      </w:r>
    </w:p>
    <w:p>
      <w:pPr>
        <w:pStyle w:val="Normal"/>
        <w:jc w:val="both"/>
        <w:rPr/>
      </w:pPr>
      <w:r>
        <w:rPr/>
        <w:t>(1) A pénzeszközt átvevő a pénzeszköz felhasználásáról köteles elszámolni és az átadott pénzeszközt a képviselő-testület által meghatározott célra fordítani.</w:t>
      </w:r>
    </w:p>
    <w:p>
      <w:pPr>
        <w:pStyle w:val="Normal"/>
        <w:jc w:val="both"/>
        <w:rPr/>
      </w:pPr>
      <w:r>
        <w:rPr/>
        <w:t>(2) A pénzügyi elszámolás a támogatási célokkal kapcsolatosan felmerülő  költségekről szóló hitelesített számlával,  számviteli bizonylattal és  irásbeli beszámoló benyújtásával történik.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6.§.</w:t>
      </w:r>
    </w:p>
    <w:p>
      <w:pPr>
        <w:pStyle w:val="Normal"/>
        <w:jc w:val="both"/>
        <w:rPr/>
      </w:pPr>
      <w:r>
        <w:rPr/>
        <w:t>(1) Az átadott  pénzeszköz felhasználásának elszámolását  folyamatosan kell elvégezni úgy, hogy az újabb megállapodás megkötéséig, de legkésőbb a tárgyévet követő év március 31. napjáig megtörténjen. Tárgyévre vonatkozó megállapodás csak az előző évi elszámolás elfogadását követően köthető.</w:t>
      </w:r>
    </w:p>
    <w:p>
      <w:pPr>
        <w:pStyle w:val="Normal"/>
        <w:jc w:val="both"/>
        <w:rPr/>
      </w:pPr>
      <w:r>
        <w:rPr/>
        <w:t>(2) Amennyiben a pénzeszközt átvevő a pénzügyi elszámolási kötelezettségét elmulasztja, a pénzt vagy annak egy részét jogtalanul használja fel, vagy a támogatás igényléséhez valótlan adatokat szolgáltat, az átvett pénzeszköz teljes összegét a forrás átvételét követő naptól számított jegybanki alapkamat mértékének kétszeresével növelt összegben az önkormányzat pénzforgalmi számlájára 15 napon belül köteles visszafizetni.</w:t>
      </w:r>
    </w:p>
    <w:p>
      <w:pPr>
        <w:pStyle w:val="Normal"/>
        <w:jc w:val="both"/>
        <w:rPr/>
      </w:pPr>
      <w:r>
        <w:rPr/>
        <w:t>(3) A (2) bekezdéssel érintett támogatott a következő évben  önkormányzati támogatásban nem részesülhet.</w:t>
      </w:r>
    </w:p>
    <w:p>
      <w:pPr>
        <w:pStyle w:val="Normal"/>
        <w:jc w:val="both"/>
        <w:rPr/>
      </w:pPr>
      <w:r>
        <w:rPr/>
        <w:t>(4) A pénzeszközt átvevő köteles az önkormányzatnak bejelenteni és a megállapodás módosítását kezdeményezni, ha a számára biztosított pénzeszközt egészben vagy részben nem kívánja felhasználni. Ebben az esetben a fel nem használt támogatás összegét a megállapodás módosítását követő 15 napon belül, de legkésőbb a felhasználására előírt határidőig köteles visszafizetni.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7. §.</w:t>
      </w:r>
    </w:p>
    <w:p>
      <w:pPr>
        <w:pStyle w:val="Normal"/>
        <w:jc w:val="both"/>
        <w:rPr/>
      </w:pPr>
      <w:r>
        <w:rPr/>
        <w:t xml:space="preserve">Az államháztartáson kívülre átadott pénzeszköz kedvezményezettjeinek nevére,a támogatás céljára, összegére, a felhasználás helyére vonatkozó adatokat az önkormányzat honlapján a döntést követő 30 napon belül közzé kell tenni.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4. A pénzeszköz átvételének feltételei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8. §.</w:t>
      </w:r>
    </w:p>
    <w:p>
      <w:pPr>
        <w:pStyle w:val="Normal"/>
        <w:jc w:val="both"/>
        <w:rPr/>
      </w:pPr>
      <w:r>
        <w:rPr/>
        <w:t>(1) Az önkormányzat államháztartáson kivüli pénzeszköz átvétele a támogatás elfogadásáról szóló egyedi döntés, illetve a támogatóval megkötött megállapodás alapján történik.</w:t>
      </w:r>
    </w:p>
    <w:p>
      <w:pPr>
        <w:pStyle w:val="Normal"/>
        <w:jc w:val="both"/>
        <w:rPr/>
      </w:pPr>
      <w:r>
        <w:rPr/>
        <w:t>(2) A megállapodásnak tartalmaznia kell a 4. §. (2) bekezdésében foglaltakat, valamint a támogató által meghatározottakat.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5. Záró rendelkezések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9. §.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A rendelet a kihirdetést követő napon lép hatályba.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Nóráp</w:t>
      </w:r>
      <w:r>
        <w:rPr/>
        <w:t xml:space="preserve"> 2019. május ….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  <w:t xml:space="preserve">                                           </w:t>
      </w:r>
    </w:p>
    <w:p>
      <w:pPr>
        <w:pStyle w:val="Normal"/>
        <w:jc w:val="both"/>
        <w:rPr/>
      </w:pPr>
      <w:r>
        <w:rPr/>
        <w:t xml:space="preserve">Antalné Ihász Mária  </w:t>
        <w:tab/>
      </w:r>
      <w:r>
        <w:rPr/>
        <w:tab/>
        <w:tab/>
        <w:tab/>
        <w:tab/>
        <w:tab/>
        <w:t>Kissné Szántó Mária</w:t>
      </w:r>
    </w:p>
    <w:p>
      <w:pPr>
        <w:pStyle w:val="Normal"/>
        <w:jc w:val="both"/>
        <w:rPr/>
      </w:pPr>
      <w:r>
        <w:rPr/>
        <w:t>polgármester</w:t>
        <w:tab/>
        <w:tab/>
        <w:tab/>
        <w:tab/>
        <w:tab/>
        <w:tab/>
        <w:tab/>
        <w:tab/>
        <w:t>jegyző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Záradék: </w:t>
      </w:r>
    </w:p>
    <w:p>
      <w:pPr>
        <w:pStyle w:val="Normal"/>
        <w:jc w:val="both"/>
        <w:rPr/>
      </w:pPr>
      <w:r>
        <w:rPr/>
        <w:t>A rendelet kihirdetve: 2019…………..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Kissné Szántó Mária</w:t>
      </w:r>
    </w:p>
    <w:p>
      <w:pPr>
        <w:pStyle w:val="Normal"/>
        <w:jc w:val="both"/>
        <w:rPr/>
      </w:pPr>
      <w:r>
        <w:rPr/>
        <w:t>jegyző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0" w:right="126" w:hanging="0"/>
        <w:jc w:val="both"/>
        <w:rPr/>
      </w:pPr>
      <w:r>
        <w:rPr/>
      </w:r>
    </w:p>
    <w:sectPr>
      <w:footerReference w:type="default" r:id="rId3"/>
      <w:type w:val="nextPage"/>
      <w:pgSz w:w="11906" w:h="16838"/>
      <w:pgMar w:left="1418" w:right="1701" w:header="720" w:top="1134" w:footer="1021" w:bottom="1418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spacing w:before="120" w:after="12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Llb"/>
      <w:spacing w:before="120" w:after="120"/>
      <w:ind w:right="360" w:firstLine="360"/>
      <w:rPr>
        <w:sz w:val="20"/>
      </w:rPr>
    </w:pPr>
    <w:r>
      <w:rPr>
        <w:sz w:val="2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spacing w:before="120" w:after="12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Llb"/>
      <w:spacing w:before="120" w:after="120"/>
      <w:ind w:right="360" w:firstLine="360"/>
      <w:rPr>
        <w:sz w:val="20"/>
      </w:rPr>
    </w:pPr>
    <w:r>
      <w:rPr>
        <w:sz w:val="20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lvl w:ilvl="0">
      <w:start w:val="1"/>
      <w:numFmt w:val="upperRoman"/>
      <w:lvlText w:val="%1."/>
      <w:lvlJc w:val="left"/>
      <w:pPr>
        <w:ind w:left="1080" w:hanging="720"/>
      </w:pPr>
      <w:rPr>
        <w:sz w:val="22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33612"/>
    <w:pPr>
      <w:widowControl/>
      <w:bidi w:val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hu-HU" w:eastAsia="hu-HU" w:bidi="ar-SA"/>
    </w:rPr>
  </w:style>
  <w:style w:type="paragraph" w:styleId="Cmsor1">
    <w:name w:val="Heading 1"/>
    <w:basedOn w:val="Normal"/>
    <w:next w:val="Normal"/>
    <w:link w:val="Cmsor1Char"/>
    <w:qFormat/>
    <w:rsid w:val="001d02d9"/>
    <w:pPr>
      <w:keepNext w:val="true"/>
      <w:keepLines/>
      <w:spacing w:lineRule="auto" w:line="247" w:before="0" w:after="10"/>
      <w:ind w:left="10" w:right="126" w:hanging="10"/>
      <w:jc w:val="center"/>
      <w:outlineLvl w:val="0"/>
    </w:pPr>
    <w:rPr>
      <w:b/>
      <w:color w:val="000000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fejChar" w:customStyle="1">
    <w:name w:val="Élőfej Char"/>
    <w:basedOn w:val="DefaultParagraphFont"/>
    <w:link w:val="lfej"/>
    <w:qFormat/>
    <w:locked/>
    <w:rsid w:val="00733612"/>
    <w:rPr>
      <w:rFonts w:eastAsia="Calibri"/>
      <w:sz w:val="24"/>
      <w:szCs w:val="24"/>
      <w:lang w:val="hu-HU" w:eastAsia="hu-HU" w:bidi="ar-SA"/>
    </w:rPr>
  </w:style>
  <w:style w:type="character" w:styleId="BuborkszvegChar" w:customStyle="1">
    <w:name w:val="Buborékszöveg Char"/>
    <w:basedOn w:val="DefaultParagraphFont"/>
    <w:link w:val="Buborkszveg"/>
    <w:qFormat/>
    <w:rsid w:val="0023258f"/>
    <w:rPr>
      <w:rFonts w:ascii="Tahoma" w:hAnsi="Tahoma" w:eastAsia="Calibri" w:cs="Tahoma"/>
      <w:sz w:val="16"/>
      <w:szCs w:val="16"/>
    </w:rPr>
  </w:style>
  <w:style w:type="character" w:styleId="Cmsor1Char" w:customStyle="1">
    <w:name w:val="Címsor 1 Char"/>
    <w:basedOn w:val="DefaultParagraphFont"/>
    <w:link w:val="Cmsor1"/>
    <w:qFormat/>
    <w:rsid w:val="001d02d9"/>
    <w:rPr>
      <w:rFonts w:eastAsia="Calibri"/>
      <w:b/>
      <w:color w:val="000000"/>
      <w:sz w:val="24"/>
      <w:szCs w:val="22"/>
    </w:rPr>
  </w:style>
  <w:style w:type="character" w:styleId="SzvegtrzsChar" w:customStyle="1">
    <w:name w:val="Szövegtörzs Char"/>
    <w:basedOn w:val="DefaultParagraphFont"/>
    <w:link w:val="Szvegtrzs"/>
    <w:qFormat/>
    <w:rsid w:val="001d02d9"/>
    <w:rPr>
      <w:sz w:val="24"/>
    </w:rPr>
  </w:style>
  <w:style w:type="character" w:styleId="LlbChar" w:customStyle="1">
    <w:name w:val="Élőláb Char"/>
    <w:basedOn w:val="DefaultParagraphFont"/>
    <w:link w:val="llb"/>
    <w:uiPriority w:val="99"/>
    <w:qFormat/>
    <w:rsid w:val="001d02d9"/>
    <w:rPr>
      <w:sz w:val="24"/>
    </w:rPr>
  </w:style>
  <w:style w:type="character" w:styleId="Pagenumber">
    <w:name w:val="page number"/>
    <w:basedOn w:val="DefaultParagraphFont"/>
    <w:qFormat/>
    <w:rsid w:val="001d02d9"/>
    <w:rPr/>
  </w:style>
  <w:style w:type="character" w:styleId="CmChar" w:customStyle="1">
    <w:name w:val="Cím Char"/>
    <w:basedOn w:val="DefaultParagraphFont"/>
    <w:link w:val="Cm"/>
    <w:qFormat/>
    <w:rsid w:val="001d02d9"/>
    <w:rPr>
      <w:b/>
      <w:bCs/>
      <w:sz w:val="32"/>
    </w:rPr>
  </w:style>
  <w:style w:type="character" w:styleId="JogtrNormlTrzsChar1" w:customStyle="1">
    <w:name w:val="Jogtár_NormálTörzs Char1"/>
    <w:link w:val="JogtrNormlTrzs"/>
    <w:uiPriority w:val="99"/>
    <w:qFormat/>
    <w:rsid w:val="001d02d9"/>
    <w:rPr>
      <w:sz w:val="24"/>
      <w:szCs w:val="24"/>
    </w:rPr>
  </w:style>
  <w:style w:type="character" w:styleId="SzvegtrzsbehzssalChar" w:customStyle="1">
    <w:name w:val="Szövegtörzs behúzással Char"/>
    <w:basedOn w:val="DefaultParagraphFont"/>
    <w:link w:val="Szvegtrzsbehzssal"/>
    <w:qFormat/>
    <w:rsid w:val="00400f6e"/>
    <w:rPr>
      <w:sz w:val="24"/>
      <w:szCs w:val="24"/>
      <w:lang w:eastAsia="zh-CN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eastAsia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0">
    <w:name w:val="ListLabel 2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1">
    <w:name w:val="ListLabel 2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2">
    <w:name w:val="ListLabel 2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3">
    <w:name w:val="ListLabel 2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4">
    <w:name w:val="ListLabel 2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5">
    <w:name w:val="ListLabel 2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6">
    <w:name w:val="ListLabel 2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7">
    <w:name w:val="ListLabel 2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8">
    <w:name w:val="ListLabel 28"/>
    <w:qFormat/>
    <w:rPr>
      <w:rFonts w:cs="Times New Roman"/>
      <w:b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b/>
    </w:rPr>
  </w:style>
  <w:style w:type="character" w:styleId="ListLabel37">
    <w:name w:val="ListLabel 37"/>
    <w:qFormat/>
    <w:rPr>
      <w:rFonts w:cs="Times New Roman"/>
      <w:b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b/>
      <w:sz w:val="22"/>
    </w:rPr>
  </w:style>
  <w:style w:type="character" w:styleId="ListLabel47">
    <w:name w:val="ListLabel 47"/>
    <w:qFormat/>
    <w:rPr>
      <w:b/>
      <w:sz w:val="22"/>
    </w:rPr>
  </w:style>
  <w:style w:type="character" w:styleId="ListLabel48">
    <w:name w:val="ListLabel 48"/>
    <w:qFormat/>
    <w:rPr>
      <w:b/>
      <w:sz w:val="22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link w:val="SzvegtrzsChar"/>
    <w:rsid w:val="001d02d9"/>
    <w:pPr>
      <w:overflowPunct w:val="true"/>
      <w:jc w:val="both"/>
      <w:textAlignment w:val="baseline"/>
    </w:pPr>
    <w:rPr>
      <w:rFonts w:eastAsia="Times New Roman"/>
      <w:szCs w:val="20"/>
    </w:rPr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istParagraph1" w:customStyle="1">
    <w:name w:val="List Paragraph1"/>
    <w:basedOn w:val="Normal"/>
    <w:qFormat/>
    <w:rsid w:val="00733612"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  <w:lang w:eastAsia="en-US"/>
    </w:rPr>
  </w:style>
  <w:style w:type="paragraph" w:styleId="Listaszerbekezds1" w:customStyle="1">
    <w:name w:val="Listaszerű bekezdés1"/>
    <w:basedOn w:val="Normal"/>
    <w:qFormat/>
    <w:rsid w:val="00733612"/>
    <w:pPr>
      <w:spacing w:before="0" w:after="0"/>
      <w:ind w:left="720" w:hanging="0"/>
      <w:contextualSpacing/>
    </w:pPr>
    <w:rPr/>
  </w:style>
  <w:style w:type="paragraph" w:styleId="Lfej">
    <w:name w:val="Header"/>
    <w:basedOn w:val="Normal"/>
    <w:link w:val="lfejChar"/>
    <w:rsid w:val="0073361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40187c"/>
    <w:pPr>
      <w:spacing w:before="0" w:after="0"/>
      <w:ind w:left="720" w:hanging="0"/>
      <w:contextualSpacing/>
    </w:pPr>
    <w:rPr>
      <w:rFonts w:eastAsia="Times New Roman"/>
    </w:rPr>
  </w:style>
  <w:style w:type="paragraph" w:styleId="BalloonText">
    <w:name w:val="Balloon Text"/>
    <w:basedOn w:val="Normal"/>
    <w:link w:val="BuborkszvegChar"/>
    <w:qFormat/>
    <w:rsid w:val="0023258f"/>
    <w:pPr/>
    <w:rPr>
      <w:rFonts w:ascii="Tahoma" w:hAnsi="Tahoma" w:cs="Tahoma"/>
      <w:sz w:val="16"/>
      <w:szCs w:val="16"/>
    </w:rPr>
  </w:style>
  <w:style w:type="paragraph" w:styleId="Felsorols1a" w:customStyle="1">
    <w:name w:val="felsorols1a"/>
    <w:basedOn w:val="Normal"/>
    <w:qFormat/>
    <w:rsid w:val="0023258f"/>
    <w:pPr>
      <w:suppressAutoHyphens w:val="true"/>
      <w:jc w:val="both"/>
    </w:pPr>
    <w:rPr>
      <w:rFonts w:eastAsia="Times New Roman"/>
      <w:lang w:eastAsia="zh-CN"/>
    </w:rPr>
  </w:style>
  <w:style w:type="paragraph" w:styleId="Listaszerbekezds2" w:customStyle="1">
    <w:name w:val="Listaszerű bekezdés2"/>
    <w:basedOn w:val="Normal"/>
    <w:qFormat/>
    <w:rsid w:val="001d02d9"/>
    <w:pPr>
      <w:spacing w:lineRule="auto" w:line="247" w:before="0" w:after="6"/>
      <w:ind w:left="720" w:right="122" w:hanging="10"/>
      <w:contextualSpacing/>
      <w:jc w:val="both"/>
    </w:pPr>
    <w:rPr>
      <w:color w:val="000000"/>
      <w:szCs w:val="22"/>
    </w:rPr>
  </w:style>
  <w:style w:type="paragraph" w:styleId="Llb">
    <w:name w:val="Footer"/>
    <w:basedOn w:val="Normal"/>
    <w:link w:val="llbChar"/>
    <w:uiPriority w:val="99"/>
    <w:rsid w:val="001d02d9"/>
    <w:pPr>
      <w:tabs>
        <w:tab w:val="clear" w:pos="708"/>
        <w:tab w:val="center" w:pos="4536" w:leader="none"/>
        <w:tab w:val="right" w:pos="9072" w:leader="none"/>
      </w:tabs>
      <w:spacing w:before="120" w:after="120"/>
      <w:jc w:val="both"/>
    </w:pPr>
    <w:rPr>
      <w:rFonts w:eastAsia="Times New Roman"/>
      <w:szCs w:val="20"/>
    </w:rPr>
  </w:style>
  <w:style w:type="paragraph" w:styleId="Cm">
    <w:name w:val="Title"/>
    <w:basedOn w:val="Normal"/>
    <w:link w:val="CmChar"/>
    <w:qFormat/>
    <w:rsid w:val="001d02d9"/>
    <w:pPr>
      <w:spacing w:before="120" w:after="120"/>
      <w:jc w:val="center"/>
    </w:pPr>
    <w:rPr>
      <w:rFonts w:eastAsia="Times New Roman"/>
      <w:b/>
      <w:bCs/>
      <w:sz w:val="32"/>
      <w:szCs w:val="20"/>
    </w:rPr>
  </w:style>
  <w:style w:type="paragraph" w:styleId="JogtrNormlTrzs" w:customStyle="1">
    <w:name w:val="Jogtár_NormálTörzs"/>
    <w:link w:val="JogtrNormlTrzsChar1"/>
    <w:qFormat/>
    <w:rsid w:val="001d02d9"/>
    <w:pPr>
      <w:widowControl/>
      <w:bidi w:val="0"/>
      <w:spacing w:before="60" w:after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hu-HU" w:bidi="ar-SA"/>
    </w:rPr>
  </w:style>
  <w:style w:type="paragraph" w:styleId="Msonormalcxspmiddle" w:customStyle="1">
    <w:name w:val="msonormalcxspmiddle"/>
    <w:basedOn w:val="Normal"/>
    <w:uiPriority w:val="99"/>
    <w:qFormat/>
    <w:rsid w:val="001d02d9"/>
    <w:pPr>
      <w:spacing w:beforeAutospacing="1" w:afterAutospacing="1"/>
    </w:pPr>
    <w:rPr>
      <w:rFonts w:eastAsia="Times New Roman"/>
    </w:rPr>
  </w:style>
  <w:style w:type="paragraph" w:styleId="JogtrFCm" w:customStyle="1">
    <w:name w:val="Jogtár_FőCím"/>
    <w:qFormat/>
    <w:rsid w:val="001d02d9"/>
    <w:pPr>
      <w:keepNext w:val="true"/>
      <w:keepLines/>
      <w:widowControl/>
      <w:bidi w:val="0"/>
      <w:spacing w:before="120" w:after="0"/>
      <w:jc w:val="center"/>
    </w:pPr>
    <w:rPr>
      <w:rFonts w:ascii="Arial" w:hAnsi="Arial" w:eastAsia="Times New Roman" w:cs="Times New Roman"/>
      <w:b/>
      <w:color w:val="auto"/>
      <w:kern w:val="0"/>
      <w:sz w:val="32"/>
      <w:szCs w:val="24"/>
      <w:lang w:val="hu-HU" w:eastAsia="hu-HU" w:bidi="ar-SA"/>
    </w:rPr>
  </w:style>
  <w:style w:type="paragraph" w:styleId="Szvegtrzsbehzssal22" w:customStyle="1">
    <w:name w:val="Szövegtörzs behúzással 22"/>
    <w:basedOn w:val="Normal"/>
    <w:qFormat/>
    <w:rsid w:val="00400f6e"/>
    <w:pPr>
      <w:suppressAutoHyphens w:val="true"/>
      <w:overflowPunct w:val="true"/>
      <w:ind w:left="1077" w:hanging="0"/>
      <w:jc w:val="both"/>
      <w:textAlignment w:val="baseline"/>
    </w:pPr>
    <w:rPr>
      <w:rFonts w:eastAsia="Times New Roman"/>
      <w:lang w:eastAsia="zh-CN"/>
    </w:rPr>
  </w:style>
  <w:style w:type="paragraph" w:styleId="Szvegtrzsbehzsa">
    <w:name w:val="Body Text Indent"/>
    <w:basedOn w:val="Normal"/>
    <w:link w:val="SzvegtrzsbehzssalChar"/>
    <w:rsid w:val="00400f6e"/>
    <w:pPr>
      <w:suppressAutoHyphens w:val="true"/>
      <w:spacing w:before="0" w:after="120"/>
      <w:ind w:left="283" w:hanging="0"/>
    </w:pPr>
    <w:rPr>
      <w:rFonts w:eastAsia="Times New Roman"/>
      <w:lang w:eastAsia="zh-CN"/>
    </w:rPr>
  </w:style>
  <w:style w:type="paragraph" w:styleId="P8" w:customStyle="1">
    <w:name w:val="p8"/>
    <w:basedOn w:val="Normal"/>
    <w:qFormat/>
    <w:rsid w:val="001c4221"/>
    <w:pPr>
      <w:spacing w:beforeAutospacing="1" w:afterAutospacing="1"/>
    </w:pPr>
    <w:rPr>
      <w:rFonts w:eastAsia="Times New Roman"/>
    </w:rPr>
  </w:style>
  <w:style w:type="paragraph" w:styleId="P9" w:customStyle="1">
    <w:name w:val="p9"/>
    <w:basedOn w:val="Normal"/>
    <w:qFormat/>
    <w:rsid w:val="001c4221"/>
    <w:pPr>
      <w:spacing w:beforeAutospacing="1" w:afterAutospacing="1"/>
    </w:pPr>
    <w:rPr>
      <w:rFonts w:eastAsia="Times New Roman"/>
    </w:rPr>
  </w:style>
  <w:style w:type="paragraph" w:styleId="Kerettartalom">
    <w:name w:val="Kerettartalom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3F419-8A18-4DFF-B2A0-295ADF236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LibreOffice/6.2.0.3$Windows_x86 LibreOffice_project/98c6a8a1c6c7b144ce3cc729e34964b47ce25d62</Application>
  <Pages>5</Pages>
  <Words>1111</Words>
  <Characters>8156</Characters>
  <CharactersWithSpaces>9310</CharactersWithSpaces>
  <Paragraphs>101</Paragraphs>
  <Company>Törökszentmiklós Város Polgármesteri Hivatala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2015-06-16T13:25:00Z</dcterms:created>
  <dc:creator>str010</dc:creator>
  <dc:description/>
  <dc:language>hu-HU</dc:language>
  <cp:lastModifiedBy/>
  <dcterms:modified xsi:type="dcterms:W3CDTF">2019-05-28T14:53:16Z</dcterms:modified>
  <cp:revision>6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Törökszentmiklós Város Polgármesteri Hivatala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