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Nóráp Község Önkormányzat képviselő-testületének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1</w:t>
      </w:r>
      <w:r>
        <w:rPr>
          <w:rFonts w:cs="Arial" w:ascii="Arial" w:hAnsi="Arial"/>
          <w:b/>
          <w:sz w:val="28"/>
          <w:szCs w:val="28"/>
        </w:rPr>
        <w:t xml:space="preserve">/2018 (II.20.) önkormányzati rendelete 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az önkormányzat 2018. évi költségvetéséről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Nóráp  Község Önkormányzat Képviselő-testülete a Magyarország helyi önkormányzatairól szóló 2011. évi CLXXXIX. törvényben, az államháztartásról szóló 2011. évi CXCV. törvény (a továbbiakban: Áht.) 23-24. §-ában, valamint az Államháztartásról szóló törvény végrehajtásáról szóló 368/2011. (XII.31.) Korm.rendeletben (továbbiakban: Ávr.) foglaltak alapján a 2018. évi költségvetéséről a következőket rendeli el.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rendelet hatálya</w:t>
      </w:r>
    </w:p>
    <w:p>
      <w:pPr>
        <w:pStyle w:val="Normal"/>
        <w:ind w:left="0" w:right="0" w:firstLine="284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1.§</w:t>
      </w:r>
    </w:p>
    <w:p>
      <w:pPr>
        <w:pStyle w:val="Normal"/>
        <w:ind w:left="0" w:right="0" w:firstLine="284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 rendelet hatálya kiterjed Nóráp Község Önkormányzatának Képviselő-testületére és annak bizottságaira.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költségvetés bevételei és kiadásai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2. §</w:t>
      </w:r>
    </w:p>
    <w:p>
      <w:pPr>
        <w:pStyle w:val="Normal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(1) A Képviselő-testület az Önkormányzat 2018. évi  költségvetését az alábbiak szerint fogadja el: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7"/>
        </w:numPr>
        <w:rPr/>
      </w:pPr>
      <w:r>
        <w:rPr>
          <w:rFonts w:cs="Arial" w:ascii="Arial" w:hAnsi="Arial"/>
          <w:b/>
          <w:i/>
          <w:sz w:val="24"/>
          <w:szCs w:val="24"/>
        </w:rPr>
        <w:t xml:space="preserve">költségvetési bevételét </w:t>
        <w:tab/>
        <w:tab/>
        <w:tab/>
        <w:tab/>
        <w:tab/>
        <w:tab/>
        <w:t xml:space="preserve">             23.030.750  Ft-ban</w:t>
      </w:r>
      <w:r>
        <w:rPr>
          <w:rFonts w:cs="Arial" w:ascii="Arial" w:hAnsi="Arial"/>
          <w:b w:val="false"/>
          <w:bCs w:val="false"/>
          <w:i/>
          <w:sz w:val="24"/>
          <w:szCs w:val="24"/>
          <w:vertAlign w:val="superscript"/>
        </w:rPr>
        <w:t>15</w:t>
      </w:r>
      <w:r>
        <w:rPr>
          <w:rFonts w:cs="Arial" w:ascii="Arial" w:hAnsi="Arial"/>
          <w:b/>
          <w:i/>
          <w:sz w:val="24"/>
          <w:szCs w:val="24"/>
        </w:rPr>
        <w:t xml:space="preserve"> </w:t>
      </w:r>
    </w:p>
    <w:p>
      <w:pPr>
        <w:pStyle w:val="Normal"/>
        <w:ind w:left="720" w:right="0" w:hanging="0"/>
        <w:rPr/>
      </w:pPr>
      <w:r>
        <w:rPr>
          <w:rFonts w:cs="Arial" w:ascii="Arial" w:hAnsi="Arial"/>
          <w:sz w:val="24"/>
          <w:szCs w:val="24"/>
        </w:rPr>
        <w:t xml:space="preserve">aa) működési költségvetési bevételét </w:t>
        <w:tab/>
        <w:tab/>
        <w:tab/>
        <w:t xml:space="preserve">                        22.495.433  Ft-ban</w:t>
      </w:r>
      <w:r>
        <w:rPr>
          <w:rFonts w:cs="Arial" w:ascii="Arial" w:hAnsi="Arial"/>
          <w:sz w:val="24"/>
          <w:szCs w:val="24"/>
          <w:vertAlign w:val="superscript"/>
        </w:rPr>
        <w:t>16</w:t>
      </w:r>
    </w:p>
    <w:p>
      <w:pPr>
        <w:pStyle w:val="Normal"/>
        <w:rPr/>
      </w:pPr>
      <w:r>
        <w:rPr>
          <w:rFonts w:eastAsia="Arial" w:cs="Arial" w:ascii="Arial" w:hAnsi="Arial"/>
          <w:sz w:val="24"/>
          <w:szCs w:val="24"/>
        </w:rPr>
        <w:t xml:space="preserve">           </w:t>
      </w:r>
      <w:r>
        <w:rPr>
          <w:rFonts w:eastAsia="Arial" w:cs="Arial" w:ascii="Arial" w:hAnsi="Arial"/>
          <w:sz w:val="24"/>
          <w:szCs w:val="24"/>
        </w:rPr>
        <w:t>ab) finanszírozási költségvetési bevételét                                                535.317 Ft-ban</w:t>
      </w:r>
      <w:r>
        <w:rPr>
          <w:rFonts w:eastAsia="Arial" w:cs="Arial" w:ascii="Arial" w:hAnsi="Arial"/>
          <w:sz w:val="24"/>
          <w:szCs w:val="24"/>
          <w:vertAlign w:val="superscript"/>
        </w:rPr>
        <w:t>17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>
          <w:rFonts w:cs="Arial" w:ascii="Arial" w:hAnsi="Arial"/>
          <w:b/>
          <w:i/>
          <w:sz w:val="24"/>
          <w:szCs w:val="24"/>
        </w:rPr>
        <w:t xml:space="preserve">költségvetési kiadását </w:t>
        <w:tab/>
        <w:tab/>
        <w:tab/>
        <w:tab/>
        <w:tab/>
        <w:tab/>
        <w:t xml:space="preserve">            38.108.308  Ft-ban</w:t>
      </w:r>
      <w:r>
        <w:rPr>
          <w:rFonts w:cs="Arial" w:ascii="Arial" w:hAnsi="Arial"/>
          <w:b/>
          <w:i/>
          <w:sz w:val="24"/>
          <w:szCs w:val="24"/>
          <w:vertAlign w:val="superscript"/>
        </w:rPr>
        <w:t>18</w:t>
      </w:r>
    </w:p>
    <w:p>
      <w:pPr>
        <w:pStyle w:val="Normal"/>
        <w:ind w:left="720" w:right="0" w:hanging="0"/>
        <w:rPr>
          <w:rFonts w:ascii="Arial" w:hAnsi="Arial" w:cs="Arial"/>
          <w:b/>
          <w:b/>
          <w:i/>
          <w:i/>
          <w:sz w:val="12"/>
          <w:szCs w:val="12"/>
        </w:rPr>
      </w:pPr>
      <w:r>
        <w:rPr>
          <w:rFonts w:cs="Arial" w:ascii="Arial" w:hAnsi="Arial"/>
          <w:b/>
          <w:i/>
          <w:sz w:val="12"/>
          <w:szCs w:val="12"/>
        </w:rPr>
      </w:r>
    </w:p>
    <w:p>
      <w:pPr>
        <w:pStyle w:val="Normal"/>
        <w:ind w:left="720" w:right="0" w:hanging="0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ba) működési költségvetési kiadását</w:t>
        <w:tab/>
        <w:tab/>
        <w:tab/>
        <w:t xml:space="preserve">                       20.532.811  Ft-ban</w:t>
      </w:r>
      <w:r>
        <w:rPr>
          <w:rFonts w:cs="Arial" w:ascii="Arial" w:hAnsi="Arial"/>
          <w:sz w:val="24"/>
          <w:szCs w:val="24"/>
          <w:vertAlign w:val="superscript"/>
        </w:rPr>
        <w:t>19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left="72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ebből:</w:t>
      </w:r>
    </w:p>
    <w:p>
      <w:pPr>
        <w:pStyle w:val="Normal"/>
        <w:ind w:left="720" w:right="0" w:hanging="0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- személyi jellegű kiadások</w:t>
        <w:tab/>
        <w:tab/>
        <w:tab/>
        <w:t xml:space="preserve">                                    5.200.408  Ft-ban</w:t>
      </w:r>
      <w:r>
        <w:rPr>
          <w:rFonts w:cs="Arial" w:ascii="Arial" w:hAnsi="Arial"/>
          <w:sz w:val="24"/>
          <w:szCs w:val="24"/>
          <w:vertAlign w:val="superscript"/>
        </w:rPr>
        <w:t>20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left="720" w:right="0" w:hanging="0"/>
        <w:rPr/>
      </w:pPr>
      <w:r>
        <w:rPr>
          <w:rFonts w:cs="Arial" w:ascii="Arial" w:hAnsi="Arial"/>
          <w:sz w:val="24"/>
          <w:szCs w:val="24"/>
        </w:rPr>
        <w:t>- munkaadókat terh. járulékok</w:t>
        <w:tab/>
        <w:tab/>
        <w:tab/>
        <w:t xml:space="preserve">                                       910.578  Ft-ban</w:t>
      </w:r>
      <w:r>
        <w:rPr>
          <w:rFonts w:cs="Arial" w:ascii="Arial" w:hAnsi="Arial"/>
          <w:sz w:val="24"/>
          <w:szCs w:val="24"/>
          <w:vertAlign w:val="superscript"/>
        </w:rPr>
        <w:t>21</w:t>
      </w:r>
    </w:p>
    <w:p>
      <w:pPr>
        <w:pStyle w:val="Normal"/>
        <w:ind w:left="720" w:right="0" w:hanging="0"/>
        <w:rPr/>
      </w:pPr>
      <w:r>
        <w:rPr>
          <w:rFonts w:cs="Arial" w:ascii="Arial" w:hAnsi="Arial"/>
          <w:sz w:val="24"/>
          <w:szCs w:val="24"/>
        </w:rPr>
        <w:t xml:space="preserve">- dologi kiadások </w:t>
        <w:tab/>
        <w:tab/>
        <w:tab/>
        <w:tab/>
        <w:tab/>
        <w:t xml:space="preserve">                                  11.921.778  Ft-ban</w:t>
      </w:r>
      <w:r>
        <w:rPr>
          <w:rFonts w:cs="Arial" w:ascii="Arial" w:hAnsi="Arial"/>
          <w:sz w:val="24"/>
          <w:szCs w:val="24"/>
          <w:vertAlign w:val="superscript"/>
        </w:rPr>
        <w:t>22</w:t>
      </w:r>
    </w:p>
    <w:p>
      <w:pPr>
        <w:pStyle w:val="Normal"/>
        <w:ind w:left="720" w:right="0" w:hanging="0"/>
        <w:rPr/>
      </w:pPr>
      <w:r>
        <w:rPr>
          <w:rFonts w:cs="Arial" w:ascii="Arial" w:hAnsi="Arial"/>
          <w:sz w:val="24"/>
          <w:szCs w:val="24"/>
        </w:rPr>
        <w:t xml:space="preserve">- ellátottak pénzbeli juttatása </w:t>
        <w:tab/>
        <w:tab/>
        <w:tab/>
        <w:t xml:space="preserve">                                       905.500  Ft-ban</w:t>
      </w:r>
      <w:r>
        <w:rPr>
          <w:rFonts w:cs="Arial" w:ascii="Arial" w:hAnsi="Arial"/>
          <w:sz w:val="24"/>
          <w:szCs w:val="24"/>
          <w:vertAlign w:val="superscript"/>
        </w:rPr>
        <w:t>23</w:t>
      </w:r>
    </w:p>
    <w:p>
      <w:pPr>
        <w:pStyle w:val="Normal"/>
        <w:ind w:left="720" w:right="0" w:hanging="0"/>
        <w:rPr/>
      </w:pPr>
      <w:r>
        <w:rPr>
          <w:rFonts w:cs="Arial" w:ascii="Arial" w:hAnsi="Arial"/>
          <w:sz w:val="24"/>
          <w:szCs w:val="24"/>
        </w:rPr>
        <w:t xml:space="preserve">- egyéb működési célú kiadások </w:t>
        <w:tab/>
        <w:tab/>
        <w:tab/>
        <w:t xml:space="preserve">                                    1.594.547  Ft-ban</w:t>
      </w:r>
      <w:r>
        <w:rPr>
          <w:rFonts w:cs="Arial" w:ascii="Arial" w:hAnsi="Arial"/>
          <w:sz w:val="24"/>
          <w:szCs w:val="24"/>
          <w:vertAlign w:val="superscript"/>
        </w:rPr>
        <w:t>24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left="720" w:right="0" w:firstLine="698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bb) felhalmozási költségvetési kiadását </w:t>
        <w:tab/>
        <w:tab/>
        <w:t xml:space="preserve">                                  10.782.508  Ft-ban</w:t>
      </w:r>
      <w:r>
        <w:rPr>
          <w:rFonts w:cs="Arial" w:ascii="Arial" w:hAnsi="Arial"/>
          <w:sz w:val="24"/>
          <w:szCs w:val="24"/>
          <w:vertAlign w:val="superscript"/>
        </w:rPr>
        <w:t>25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left="0"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ebből:</w:t>
        <w:tab/>
      </w:r>
    </w:p>
    <w:p>
      <w:pPr>
        <w:pStyle w:val="Normal"/>
        <w:ind w:left="0" w:right="-1" w:firstLine="709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- a felújítások előirányzatát </w:t>
        <w:tab/>
        <w:tab/>
        <w:t xml:space="preserve">                                              4.782.508  Ft-ban</w:t>
      </w:r>
      <w:r>
        <w:rPr>
          <w:rFonts w:cs="Arial" w:ascii="Arial" w:hAnsi="Arial"/>
          <w:sz w:val="24"/>
          <w:szCs w:val="24"/>
          <w:vertAlign w:val="superscript"/>
        </w:rPr>
        <w:t>26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left="0" w:right="-1" w:firstLine="709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- egyéb felhalmozási kiadások                                                             6 000.000  Ft-ban</w:t>
      </w:r>
    </w:p>
    <w:p>
      <w:pPr>
        <w:pStyle w:val="Normal"/>
        <w:ind w:left="0"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firstLine="709"/>
        <w:jc w:val="both"/>
        <w:rPr/>
      </w:pPr>
      <w:r>
        <w:rPr>
          <w:rFonts w:cs="Arial" w:ascii="Arial" w:hAnsi="Arial"/>
          <w:sz w:val="24"/>
          <w:szCs w:val="24"/>
        </w:rPr>
        <w:t>bc) tartalék                                                                                            6.792.989  Ft-ban</w:t>
      </w:r>
      <w:r>
        <w:rPr>
          <w:rFonts w:cs="Arial" w:ascii="Arial" w:hAnsi="Arial"/>
          <w:sz w:val="24"/>
          <w:szCs w:val="24"/>
          <w:vertAlign w:val="superscript"/>
        </w:rPr>
        <w:t>27</w:t>
      </w:r>
    </w:p>
    <w:p>
      <w:pPr>
        <w:pStyle w:val="Normal"/>
        <w:ind w:left="0"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b/>
          <w:sz w:val="24"/>
          <w:szCs w:val="24"/>
        </w:rPr>
        <w:t>c)   finanszírozási kiadását                                                                         600.817 Ft-ban</w:t>
      </w:r>
    </w:p>
    <w:p>
      <w:pPr>
        <w:pStyle w:val="Normal"/>
        <w:ind w:left="0" w:right="-1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</w:t>
      </w:r>
      <w:r>
        <w:rPr>
          <w:rFonts w:cs="Arial" w:ascii="Arial" w:hAnsi="Arial"/>
          <w:sz w:val="24"/>
          <w:szCs w:val="24"/>
        </w:rPr>
        <w:t>ebből:</w:t>
      </w:r>
    </w:p>
    <w:p>
      <w:pPr>
        <w:pStyle w:val="Normal"/>
        <w:ind w:left="0" w:right="-1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</w:t>
      </w:r>
      <w:r>
        <w:rPr>
          <w:rFonts w:cs="Arial" w:ascii="Arial" w:hAnsi="Arial"/>
          <w:sz w:val="24"/>
          <w:szCs w:val="24"/>
        </w:rPr>
        <w:t>- ÁHT-én belüli megelőlegezések visszafizetése                                   600.817 Ft-ban</w:t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left="720" w:right="-1" w:hanging="360"/>
        <w:jc w:val="both"/>
        <w:rPr/>
      </w:pPr>
      <w:r>
        <w:rPr>
          <w:rFonts w:cs="Arial" w:ascii="Arial" w:hAnsi="Arial"/>
          <w:sz w:val="24"/>
          <w:szCs w:val="24"/>
        </w:rPr>
        <w:t xml:space="preserve">költségvetési egyenlegének összegét: </w:t>
      </w:r>
      <w:r>
        <w:rPr>
          <w:rFonts w:cs="Arial" w:ascii="Arial" w:hAnsi="Arial"/>
          <w:b/>
          <w:i/>
          <w:sz w:val="24"/>
          <w:szCs w:val="24"/>
        </w:rPr>
        <w:t>- 15.678.375</w:t>
      </w:r>
      <w:r>
        <w:rPr>
          <w:rFonts w:cs="Arial" w:ascii="Arial" w:hAnsi="Arial"/>
          <w:sz w:val="24"/>
          <w:szCs w:val="24"/>
        </w:rPr>
        <w:t xml:space="preserve">  Ft-ban állapítja meg</w:t>
      </w:r>
    </w:p>
    <w:p>
      <w:pPr>
        <w:pStyle w:val="Normal"/>
        <w:ind w:left="72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left="720" w:right="-1" w:hanging="360"/>
        <w:jc w:val="both"/>
        <w:rPr/>
      </w:pPr>
      <w:r>
        <w:rPr>
          <w:rFonts w:cs="Arial" w:ascii="Arial" w:hAnsi="Arial"/>
          <w:sz w:val="24"/>
          <w:szCs w:val="24"/>
        </w:rPr>
        <w:t xml:space="preserve">a költségvetési hiány belső finanszírozását szolgáló előző évek pénzmaradványának igénybevétele </w:t>
      </w:r>
      <w:r>
        <w:rPr>
          <w:rFonts w:cs="Arial" w:ascii="Arial" w:hAnsi="Arial"/>
          <w:b/>
          <w:bCs/>
          <w:sz w:val="24"/>
          <w:szCs w:val="24"/>
        </w:rPr>
        <w:t>15</w:t>
      </w:r>
      <w:r>
        <w:rPr>
          <w:rFonts w:cs="Arial" w:ascii="Arial" w:hAnsi="Arial"/>
          <w:b/>
          <w:i/>
          <w:sz w:val="24"/>
          <w:szCs w:val="24"/>
        </w:rPr>
        <w:t>.678.375  Ft</w:t>
      </w:r>
    </w:p>
    <w:p>
      <w:pPr>
        <w:pStyle w:val="Normal"/>
        <w:ind w:left="720" w:right="-1" w:hanging="0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5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Stabilitási tv. 3. § (1) bekezdése szerinti adósságot keletkeztető ügyletekből és kezességvállalásokból fennálló kötelezettsége nincs.</w:t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left="720" w:right="-1" w:hanging="360"/>
        <w:jc w:val="both"/>
        <w:rPr/>
      </w:pPr>
      <w:r>
        <w:rPr>
          <w:rFonts w:cs="Arial" w:ascii="Arial" w:hAnsi="Arial"/>
          <w:sz w:val="24"/>
          <w:szCs w:val="24"/>
        </w:rPr>
        <w:t xml:space="preserve">az általános tartalék összegét </w:t>
      </w:r>
      <w:r>
        <w:rPr>
          <w:rFonts w:cs="Arial" w:ascii="Arial" w:hAnsi="Arial"/>
          <w:b/>
          <w:bCs/>
          <w:sz w:val="24"/>
          <w:szCs w:val="24"/>
        </w:rPr>
        <w:t>6</w:t>
      </w:r>
      <w:r>
        <w:rPr>
          <w:rFonts w:cs="Arial" w:ascii="Arial" w:hAnsi="Arial"/>
          <w:sz w:val="24"/>
          <w:szCs w:val="24"/>
        </w:rPr>
        <w:t>.</w:t>
      </w:r>
      <w:r>
        <w:rPr>
          <w:rFonts w:cs="Arial" w:ascii="Arial" w:hAnsi="Arial"/>
          <w:b/>
          <w:bCs/>
          <w:sz w:val="24"/>
          <w:szCs w:val="24"/>
        </w:rPr>
        <w:t>792</w:t>
      </w:r>
      <w:r>
        <w:rPr>
          <w:rFonts w:cs="Arial" w:ascii="Arial" w:hAnsi="Arial"/>
          <w:b/>
          <w:i/>
          <w:sz w:val="24"/>
          <w:szCs w:val="24"/>
        </w:rPr>
        <w:t>.989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 xml:space="preserve"> Ft</w:t>
      </w:r>
      <w:r>
        <w:rPr>
          <w:rFonts w:cs="Arial" w:ascii="Arial" w:hAnsi="Arial"/>
          <w:sz w:val="24"/>
          <w:szCs w:val="24"/>
        </w:rPr>
        <w:t>-ban</w:t>
      </w:r>
      <w:r>
        <w:rPr>
          <w:rFonts w:cs="Arial" w:ascii="Arial" w:hAnsi="Arial"/>
          <w:sz w:val="24"/>
          <w:szCs w:val="24"/>
          <w:vertAlign w:val="superscript"/>
        </w:rPr>
        <w:t>28</w:t>
      </w:r>
      <w:r>
        <w:rPr>
          <w:rFonts w:cs="Arial" w:ascii="Arial" w:hAnsi="Arial"/>
          <w:sz w:val="24"/>
          <w:szCs w:val="24"/>
        </w:rPr>
        <w:t xml:space="preserve"> hagyja jóvá.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left="720" w:right="-1" w:hanging="36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az Önkormányzat összesített éves létszám előirányzatát 2 főben, a közfoglalkoztatottak éves létszám-előirányzatát 1 főben hagyja jóvá.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(2) Az (1) bekezdésben megállapított költségvetési bevételek forrásonkénti, a költségvetési kiadások jogcímenkénti megoszlását összesítetten a rendelet  1. melléklete alapján határozza meg a képviselő-testület. </w:t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(3) A működési és felhalmozási bevételek és kiadások előirányzatai mérlegszerű bemutatását önkormányzati szinten a 2.1. és a 2.2. melléklet részletezi. </w:t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(4) A működési hiány belső finanszírozásának érdekében a Képviselő-testület az előző év költségvetési maradványának az igénybevételét rendeli el.</w:t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117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117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1170" w:right="-1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-1" w:hanging="0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költségvetés részletezése</w:t>
      </w:r>
    </w:p>
    <w:p>
      <w:pPr>
        <w:pStyle w:val="Normal"/>
        <w:ind w:left="0" w:right="-1" w:hanging="0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3. §</w:t>
      </w:r>
    </w:p>
    <w:p>
      <w:pPr>
        <w:pStyle w:val="Normal"/>
        <w:ind w:left="0" w:right="-1" w:hanging="0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költségvetési évet követő három év tervezett bevételi és kiadási előirányzatainak keretszámait főbb csoportokban a 3. melléklet mutatja be.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Önkormányzat előirányzat felhasználási tervét a 4. melléklet mutatja be. 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költségvetési hozzájárulásokat az 5. melléklet mutatja be.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céljellegű támogatásokat részletező kimutatást a 6. melléklet szerint fogadja el.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felújítási kiadásainak célonkénti részletezését a 7. melléklet szerint fogadja el.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Európai uniós forrásból finanszírozott támogatással az önkormányzat nem rendelkezik.</w:t>
      </w:r>
    </w:p>
    <w:p>
      <w:pPr>
        <w:pStyle w:val="Normal"/>
        <w:numPr>
          <w:ilvl w:val="0"/>
          <w:numId w:val="3"/>
        </w:numPr>
        <w:ind w:left="720" w:right="-1" w:hanging="36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 Képviselő-testület a kiadások között 6.792.989  Ft</w:t>
      </w:r>
      <w:r>
        <w:rPr>
          <w:rFonts w:cs="Arial" w:ascii="Arial" w:hAnsi="Arial"/>
          <w:sz w:val="24"/>
          <w:szCs w:val="24"/>
          <w:vertAlign w:val="superscript"/>
        </w:rPr>
        <w:t>29</w:t>
      </w:r>
      <w:r>
        <w:rPr>
          <w:rFonts w:cs="Arial" w:ascii="Arial" w:hAnsi="Arial"/>
          <w:sz w:val="24"/>
          <w:szCs w:val="24"/>
        </w:rPr>
        <w:t xml:space="preserve"> általános tartalékot állapít meg. A tartalékkal való rendelkezés jogát a Képviselő-testület fenntartja magának.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Többéves kihatással járó döntések számszerűsítését a 8. melléklet mutatja be.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Az Önkormányzat  költségvetése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4. §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>A Képviselő–testület felhatalmazza a polgármestert, hogy az Önkormányzat, valamint a költségvetési szervei összeállított, tartalmi és formai szempontból ellenőrzött költségvetését az önkormányzati rendelet-tervezet Képviselő-testület elé terjesztésének határidejét követő 30 napon belül a Kincstár területi szervéhez nyújtsa be.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2018. évi költségvetés végrehajtásával kapcsolatos szabályok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5. §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önkormányzati szintű költségvetés végrehajtásáért a polgármester, a könyvvezetéssel kapcsolatos feladatok ellátásáért a jegyző a felelős.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gazdálkodásának biztonságáért a Képviselő-testület, a gazdálkodás szabályszerűségéért a polgármester felelős.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gazdálkodása során az év közben létrejött költségvetési többlet pénzintézeti pénzlekötés útján hasznosítható. A költségvetési többlet hasznosításával kapcsolatos szerződések, illetve pénzügyi műveletek lebonyolítását 10 millió forintig a képviselő-testület a polgármester hatáskörébe utalja. A polgármester az ezzel kapcsolatos intézkedéséről a következő képviselő-testületi ülésen tájékoztatást adni köteles.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költségvetési hiány csökkentése érdekében év közben folyamatosan figyelemmel kell kísérni a kiadások csökkentésének és a bevételek növelésének lehetőségeit.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Kiegészítő támogatás igényléséről a működőképességet veszélyeztető helyzet esetében a polgármester gondoskodik, külön képviselő-testületi döntés alapján.</w:t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6. §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önkormányzat bevételeinek és kiadásainak módosításáról, a kiadási előirányzatok közötti átcsoportosításról a Képviselő-testület dönt. </w:t>
      </w:r>
    </w:p>
    <w:p>
      <w:pPr>
        <w:pStyle w:val="Normal"/>
        <w:ind w:left="72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Képviselő-testület a jóváhagyott kiadási előirányzatok közötti átcsoportosítás jogát minden esetben fenntartja magának.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költségvetési szerv a költségvetése kiemelt előirányzatai és a kiemelt előirányzaton belüli rovatok között átcsoportosítást hajthat végre.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Képviselő-testület az előirányzat-módosítás, előirányzat-átcsoportosítás átvezetéseként - az első negyedév kivételével - negyedévenként, de legkésőbb az éves költségvetési beszámoló elkészítésének határidejéig, december 31-ei hatállyal módosítja a költségvetési rendeletét. Ha év közben az Országgyűlés a hozzájárulások, támogatások előirányzatait zárolja, azokat csökkenti, törli, az intézkedés kihirdetését követően haladéktalanul a képviselő-testület elé kell terjeszteni a költségvetési rendelet módosítását.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Amennyiben az Önkormányzat év közben a költségvetési rendelet készítésekor nem ismert többletbevételhez jut, vagy bevételei a tervezettől elmaradnak, arról a polgármester a Képviselő-testületet tájékoztatja.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képviselő-testület által jóváhagyott kiemelt előirányzatokat valamennyi költségvetési szerv köteles betartani.</w:t>
      </w:r>
    </w:p>
    <w:p>
      <w:pPr>
        <w:pStyle w:val="Listaszerbekezds"/>
        <w:ind w:left="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gazdálkodás szabályai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7. §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költségvetési szervek rendeletben meghatározott bevételi és kiadási előirányzatai felett az intézmények vezetői előirányzat-felhasználási jogkörrel rendelkeznek. </w:t>
      </w:r>
    </w:p>
    <w:p>
      <w:pPr>
        <w:pStyle w:val="Normal"/>
        <w:ind w:left="72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költségvetési szervek az alapfeladataik ellátását szolgáló személyi juttatásokkal és az azokhoz kapcsolódó járulékok és egyéb közterhek előirányzataival minden esetben, egyéb előirányzatokkal a munkamegosztási megállapodásban foglaltaknak megfelelően rendelkeznek.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Valamennyi költségvetési szerv vezetője köteles belső szabályzatban rögzíteni a működéshez, gazdálkodáshoz kapcsolódóan a gazdálkodás vitelét meghatározó szabályokat, a mindenkor érvényes központi szabályozás figyelembe vételével, illetve a szükséges módosításokat végrehajtani.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költségvetési szervek az évközi előirányzat-módosításokról a jegyző által elrendelt formában kötelesek naprakész nyilvántartást vezetni.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A költségvetés végrehajtásának ellenőrzése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8. §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a költségvetés végrehajtását belső ellenőrzés keretében ellenőrzi. A belső ellenőrzési feladatokat a Pápakörnyéki Önkormányzatok Feladatellátó Társulása keretében működő ellenőrzési társulás végzi az éves ellenőrzési munkatervében foglaltak szerint. Az ellenőrzés tapasztalatairól a polgármester a zárszámadási rendelet-tervezet előterjesztésekor köteles a Képviselő-testületet tájékoztatni.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jegyző köteles olyan kontrolltevékenységeket kialakítani, melyek biztosítják a kockázatok kezelését, hozzájárulnak a célok eléréséhez. Minden tevékenységre vonatkozóan biztosítani kell a folyamatba épített, előzetes, utólagos és vezetői ellenőrzést (FEUVE). A költségvetési szervek vezetői kötelesek a költségvetési szervek belső kontrollrendszeréről és belső ellenőrzéséről szóló 370/2011. (XII. 31.) Korm. rendelet 1. melléklet szerinti nyilatkozatban értékelni a költségvetési szerv belső kontrollrendszerének minőségét.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Átmeneti gazdálkodás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9. §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Áht. 25. § (3) alapján – mivel az Önkormányzat 2018. január 1-jéig a költségvetési rendeletét nem alkotta meg – a polgármester jogosult az Önkormányzat költségvetését megillető bevételeknek a hatályos jogszabályok szerinti beszedésére, és az előző évi kiadási előirányzatokon belül a kiadások arányos teljesítésére.</w:t>
      </w:r>
    </w:p>
    <w:p>
      <w:pPr>
        <w:pStyle w:val="Normal"/>
        <w:ind w:left="6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polgármester a 2018. évi költségvetés elfogadásakor – az (1) bekezdésben foglaltak alapján – a Képviselő-testületnek beszámol, a Képviselő-testület a beszedett bevételeket és a teljesített kiadásokat e rendeletbe beépítve fogadja el.</w:t>
      </w:r>
    </w:p>
    <w:p>
      <w:pPr>
        <w:pStyle w:val="Normal"/>
        <w:numPr>
          <w:ilvl w:val="0"/>
          <w:numId w:val="0"/>
        </w:numPr>
        <w:ind w:left="0" w:right="0" w:hanging="0"/>
        <w:jc w:val="both"/>
        <w:rPr/>
      </w:pPr>
      <w:r>
        <w:rPr/>
      </w:r>
    </w:p>
    <w:p>
      <w:pPr>
        <w:pStyle w:val="Listaszerbekezds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435" w:right="0" w:hanging="0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Záró rendelkezések</w:t>
      </w:r>
    </w:p>
    <w:p>
      <w:pPr>
        <w:pStyle w:val="Normal"/>
        <w:ind w:left="435" w:right="0" w:hanging="0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10. §</w:t>
      </w:r>
    </w:p>
    <w:p>
      <w:pPr>
        <w:pStyle w:val="Normal"/>
        <w:ind w:left="435" w:right="0" w:hanging="0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ind w:left="855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 rendelet a kihirdetést követő napon lép hatályba.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i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Nóráp, 2018. február 08.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     </w:t>
      </w:r>
      <w:r>
        <w:rPr>
          <w:rFonts w:cs="Arial" w:ascii="Arial" w:hAnsi="Arial"/>
          <w:sz w:val="24"/>
          <w:szCs w:val="24"/>
        </w:rPr>
        <w:t>Stankovics Ferenc</w:t>
        <w:tab/>
        <w:tab/>
        <w:tab/>
        <w:t xml:space="preserve">   Bóka Istvánné</w:t>
      </w:r>
    </w:p>
    <w:p>
      <w:pPr>
        <w:pStyle w:val="Normal"/>
        <w:ind w:left="1418" w:right="0" w:firstLine="709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 xml:space="preserve">polgármester </w:t>
        <w:tab/>
        <w:tab/>
        <w:tab/>
        <w:t xml:space="preserve">       jegyző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Záradék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i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 xml:space="preserve">A rendelet kihirdetve: 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Nóráp, 2018. február 20.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ind w:left="3545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Bóka Istvánné</w:t>
      </w:r>
    </w:p>
    <w:p>
      <w:pPr>
        <w:pStyle w:val="Normal"/>
        <w:ind w:left="3545" w:right="0" w:firstLine="709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sz w:val="24"/>
          <w:szCs w:val="24"/>
        </w:rPr>
        <w:t>jegyző</w:t>
      </w:r>
    </w:p>
    <w:p>
      <w:pPr>
        <w:pStyle w:val="Normal"/>
        <w:ind w:left="3545" w:right="0" w:firstLine="709"/>
        <w:jc w:val="both"/>
        <w:rPr/>
      </w:pPr>
      <w:r>
        <w:rPr/>
      </w:r>
    </w:p>
    <w:p>
      <w:pPr>
        <w:pStyle w:val="Normal"/>
        <w:ind w:left="3545" w:right="0" w:firstLine="709"/>
        <w:jc w:val="both"/>
        <w:rPr/>
      </w:pPr>
      <w:r>
        <w:rPr/>
      </w:r>
    </w:p>
    <w:p>
      <w:pPr>
        <w:pStyle w:val="Normal"/>
        <w:ind w:left="3545" w:right="0" w:firstLine="709"/>
        <w:jc w:val="both"/>
        <w:rPr/>
      </w:pPr>
      <w:r>
        <w:rPr/>
      </w:r>
    </w:p>
    <w:p>
      <w:pPr>
        <w:pStyle w:val="Normal"/>
        <w:ind w:left="3545" w:right="0" w:firstLine="709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sz w:val="24"/>
          <w:szCs w:val="24"/>
          <w:vertAlign w:val="superscript"/>
        </w:rPr>
        <w:t>1-14</w:t>
      </w:r>
      <w:r>
        <w:rPr>
          <w:rFonts w:cs="Arial" w:ascii="Arial" w:hAnsi="Arial"/>
          <w:position w:val="0"/>
          <w:sz w:val="24"/>
          <w:sz w:val="24"/>
          <w:szCs w:val="24"/>
          <w:vertAlign w:val="baseline"/>
        </w:rPr>
        <w:t xml:space="preserve"> Módosítva Nóráp Község Önkormányzat 5/2018(IX.12.)Önkormányzati rendelete alapján</w:t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sz w:val="24"/>
          <w:szCs w:val="24"/>
          <w:vertAlign w:val="superscript"/>
        </w:rPr>
        <w:t xml:space="preserve">15-29 </w:t>
      </w:r>
      <w:r>
        <w:rPr>
          <w:rFonts w:cs="Arial" w:ascii="Arial" w:hAnsi="Arial"/>
          <w:position w:val="0"/>
          <w:sz w:val="24"/>
          <w:sz w:val="24"/>
          <w:szCs w:val="24"/>
          <w:vertAlign w:val="baseline"/>
        </w:rPr>
        <w:t>Módosítva Nóráp Község Önkormányzat 4/2019(V.27.)Önkormányzati rendelete alapján</w:t>
      </w:r>
    </w:p>
    <w:sectPr>
      <w:footerReference w:type="default" r:id="rId2"/>
      <w:footerReference w:type="first" r:id="rId3"/>
      <w:type w:val="nextPage"/>
      <w:pgSz w:w="11906" w:h="16838"/>
      <w:pgMar w:left="720" w:right="720" w:header="0" w:top="720" w:footer="907" w:bottom="963" w:gutter="0"/>
      <w:pgNumType w:start="1"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ind w:left="0" w:right="360" w:hanging="0"/>
      <w:jc w:val="center"/>
      <w:rPr/>
    </w:pPr>
    <w:r>
      <w:rPr>
        <w:rStyle w:val="Oldalszm"/>
      </w:rPr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7305" cy="142240"/>
              <wp:effectExtent l="0" t="0" r="0" b="0"/>
              <wp:wrapSquare wrapText="largest"/>
              <wp:docPr id="1" name="Keret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05" cy="1422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Llb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6350" tIns="6350" rIns="6350" bIns="635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2.15pt;height:11.2pt;mso-wrap-distance-left:0pt;mso-wrap-distance-right:0pt;mso-wrap-distance-top:0pt;mso-wrap-distance-bottom:0pt;margin-top:0.05pt;mso-position-vertical-relative:text;margin-left:260.6pt;mso-position-horizontal:center;mso-position-horizontal-relative:margin">
              <v:textbox inset="0.00694444444444444in,0.00694444444444444in,0.00694444444444444in,0.00694444444444444in">
                <w:txbxContent>
                  <w:p>
                    <w:pPr>
                      <w:pStyle w:val="Llb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>
        <w:rStyle w:val="Oldalszm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pStyle w:val="Cmsor2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pStyle w:val="Cmsor3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pStyle w:val="Cmsor4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pStyle w:val="Cmsor5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pStyle w:val="Cmsor6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pStyle w:val="Cmsor7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pStyle w:val="Cmsor8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pStyle w:val="Cmsor9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450" w:hanging="390"/>
      </w:pPr>
      <w:rPr>
        <w:sz w:val="24"/>
        <w:szCs w:val="24"/>
        <w:rFonts w:ascii="Arial" w:hAnsi="Arial" w:cs="Arial"/>
      </w:r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>
        <w:sz w:val="24"/>
        <w:szCs w:val="24"/>
        <w:bCs/>
        <w:rFonts w:ascii="Arial" w:hAnsi="Arial" w:cs="Arial"/>
      </w:rPr>
    </w:lvl>
  </w:abstractNum>
  <w:abstractNum w:abstractNumId="4">
    <w:lvl w:ilvl="0">
      <w:start w:val="1"/>
      <w:numFmt w:val="decimal"/>
      <w:lvlText w:val="(%1)"/>
      <w:lvlJc w:val="left"/>
      <w:pPr>
        <w:ind w:left="720" w:hanging="360"/>
      </w:pPr>
      <w:rPr>
        <w:sz w:val="24"/>
        <w:szCs w:val="24"/>
        <w:rFonts w:ascii="Arial" w:hAnsi="Arial" w:cs="Arial"/>
      </w:rPr>
    </w:lvl>
  </w:abstractNum>
  <w:abstractNum w:abstractNumId="5"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i/>
        <w:b/>
        <w:szCs w:val="24"/>
        <w:rFonts w:ascii="Arial" w:hAnsi="Arial" w:cs="Arial"/>
      </w:rPr>
    </w:lvl>
  </w:abstractNum>
  <w:abstractNum w:abstractNumId="6">
    <w:lvl w:ilvl="0">
      <w:start w:val="1"/>
      <w:numFmt w:val="decimal"/>
      <w:lvlText w:val="(%1)"/>
      <w:lvlJc w:val="left"/>
      <w:pPr>
        <w:ind w:left="735" w:hanging="375"/>
      </w:pPr>
      <w:rPr>
        <w:sz w:val="24"/>
        <w:szCs w:val="24"/>
        <w:rFonts w:ascii="Arial" w:hAnsi="Arial" w:cs="Arial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sz w:val="24"/>
        <w:i/>
        <w:b/>
        <w:szCs w:val="24"/>
        <w:rFonts w:ascii="Arial" w:hAnsi="Arial" w:cs="Arial"/>
      </w:rPr>
    </w:lvl>
  </w:abstractNum>
  <w:abstractNum w:abstractNumId="8">
    <w:lvl w:ilvl="0">
      <w:start w:val="1"/>
      <w:numFmt w:val="decimal"/>
      <w:lvlText w:val="(%1)"/>
      <w:lvlJc w:val="left"/>
      <w:pPr>
        <w:ind w:left="435" w:hanging="375"/>
      </w:pPr>
      <w:rPr>
        <w:sz w:val="24"/>
        <w:szCs w:val="24"/>
        <w:rFonts w:ascii="Arial" w:hAnsi="Arial" w:cs="Arial"/>
      </w:rPr>
    </w:lvl>
  </w:abstractNum>
  <w:abstractNum w:abstractNumId="9">
    <w:lvl w:ilvl="0">
      <w:start w:val="1"/>
      <w:numFmt w:val="decimal"/>
      <w:lvlText w:val="(%1)"/>
      <w:lvlJc w:val="left"/>
      <w:pPr>
        <w:ind w:left="720" w:hanging="360"/>
      </w:pPr>
      <w:rPr>
        <w:sz w:val="24"/>
        <w:szCs w:val="24"/>
        <w:rFonts w:ascii="Arial" w:hAnsi="Arial" w:cs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hu-HU" w:eastAsia="zh-CN" w:bidi="ar-SA"/>
    </w:rPr>
  </w:style>
  <w:style w:type="paragraph" w:styleId="Cmsor1">
    <w:name w:val="Heading 1"/>
    <w:basedOn w:val="Normal"/>
    <w:next w:val="Normal"/>
    <w:qFormat/>
    <w:pPr>
      <w:keepNext w:val="true"/>
      <w:numPr>
        <w:ilvl w:val="0"/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al"/>
    <w:next w:val="Normal"/>
    <w:qFormat/>
    <w:pPr>
      <w:keepNext w:val="true"/>
      <w:numPr>
        <w:ilvl w:val="7"/>
        <w:numId w:val="1"/>
      </w:numPr>
      <w:jc w:val="both"/>
      <w:outlineLvl w:val="7"/>
    </w:pPr>
    <w:rPr>
      <w:b/>
      <w:i/>
      <w:sz w:val="22"/>
    </w:rPr>
  </w:style>
  <w:style w:type="paragraph" w:styleId="Cmsor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cs="Arial"/>
      <w:sz w:val="24"/>
      <w:szCs w:val="24"/>
    </w:rPr>
  </w:style>
  <w:style w:type="character" w:styleId="WW8Num3z0">
    <w:name w:val="WW8Num3z0"/>
    <w:qFormat/>
    <w:rPr>
      <w:rFonts w:ascii="Arial" w:hAnsi="Arial" w:cs="Arial"/>
      <w:bCs/>
      <w:sz w:val="24"/>
      <w:szCs w:val="24"/>
    </w:rPr>
  </w:style>
  <w:style w:type="character" w:styleId="WW8Num4z0">
    <w:name w:val="WW8Num4z0"/>
    <w:qFormat/>
    <w:rPr>
      <w:rFonts w:ascii="Arial" w:hAnsi="Arial" w:cs="Arial"/>
      <w:sz w:val="24"/>
      <w:szCs w:val="24"/>
    </w:rPr>
  </w:style>
  <w:style w:type="character" w:styleId="WW8Num5z0">
    <w:name w:val="WW8Num5z0"/>
    <w:qFormat/>
    <w:rPr>
      <w:rFonts w:ascii="Arial" w:hAnsi="Arial" w:cs="Arial"/>
      <w:b/>
      <w:i/>
      <w:sz w:val="24"/>
      <w:szCs w:val="24"/>
    </w:rPr>
  </w:style>
  <w:style w:type="character" w:styleId="WW8Num6z0">
    <w:name w:val="WW8Num6z0"/>
    <w:qFormat/>
    <w:rPr>
      <w:rFonts w:ascii="Arial" w:hAnsi="Arial" w:cs="Arial"/>
      <w:sz w:val="24"/>
      <w:szCs w:val="24"/>
    </w:rPr>
  </w:style>
  <w:style w:type="character" w:styleId="WW8Num7z0">
    <w:name w:val="WW8Num7z0"/>
    <w:qFormat/>
    <w:rPr>
      <w:rFonts w:ascii="Arial" w:hAnsi="Arial" w:cs="Arial"/>
      <w:b/>
      <w:i/>
      <w:sz w:val="24"/>
      <w:szCs w:val="24"/>
    </w:rPr>
  </w:style>
  <w:style w:type="character" w:styleId="WW8Num8z0">
    <w:name w:val="WW8Num8z0"/>
    <w:qFormat/>
    <w:rPr>
      <w:rFonts w:ascii="Arial" w:hAnsi="Arial" w:cs="Arial"/>
      <w:sz w:val="24"/>
      <w:szCs w:val="24"/>
    </w:rPr>
  </w:style>
  <w:style w:type="character" w:styleId="WW8Num9z0">
    <w:name w:val="WW8Num9z0"/>
    <w:qFormat/>
    <w:rPr>
      <w:rFonts w:ascii="Arial" w:hAnsi="Arial" w:cs="Arial"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Arial" w:hAnsi="Arial" w:cs="Arial"/>
      <w:sz w:val="24"/>
      <w:szCs w:val="24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Arial" w:hAnsi="Arial" w:eastAsia="Times New Roman" w:cs="Aria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Arial" w:hAnsi="Arial" w:cs="Arial"/>
      <w:b/>
      <w:i/>
      <w:sz w:val="24"/>
      <w:szCs w:val="24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Arial" w:hAnsi="Arial" w:cs="Arial"/>
      <w:sz w:val="24"/>
      <w:szCs w:val="24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Arial" w:hAnsi="Arial" w:cs="Arial"/>
      <w:sz w:val="24"/>
      <w:szCs w:val="24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Bekezdsalapbettpusa">
    <w:name w:val="Bekezdés alapbetűtípusa"/>
    <w:qFormat/>
    <w:rPr/>
  </w:style>
  <w:style w:type="character" w:styleId="Oldalszm">
    <w:name w:val="Oldalszám"/>
    <w:basedOn w:val="Bekezdsalapbettpusa"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pPr>
      <w:jc w:val="both"/>
    </w:pPr>
    <w:rPr>
      <w:sz w:val="28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lb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">
    <w:name w:val="Szövegtörzs 2"/>
    <w:basedOn w:val="Normal"/>
    <w:qFormat/>
    <w:pPr>
      <w:jc w:val="center"/>
    </w:pPr>
    <w:rPr>
      <w:b/>
      <w:sz w:val="32"/>
    </w:rPr>
  </w:style>
  <w:style w:type="paragraph" w:styleId="Szvegtrzs3">
    <w:name w:val="Szövegtörzs 3"/>
    <w:basedOn w:val="Normal"/>
    <w:qFormat/>
    <w:pPr>
      <w:jc w:val="center"/>
    </w:pPr>
    <w:rPr>
      <w:b/>
      <w:i/>
      <w:sz w:val="28"/>
      <w:u w:val="single"/>
    </w:rPr>
  </w:style>
  <w:style w:type="paragraph" w:styleId="Szvegtrzsbehzsa">
    <w:name w:val="Body Text Indent"/>
    <w:basedOn w:val="Normal"/>
    <w:pPr>
      <w:ind w:left="709" w:right="0" w:hanging="0"/>
      <w:jc w:val="both"/>
    </w:pPr>
    <w:rPr>
      <w:sz w:val="28"/>
    </w:rPr>
  </w:style>
  <w:style w:type="paragraph" w:styleId="Lfej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Buborkszveg">
    <w:name w:val="Buborékszöveg"/>
    <w:basedOn w:val="Normal"/>
    <w:qFormat/>
    <w:pPr/>
    <w:rPr>
      <w:rFonts w:ascii="Tahoma" w:hAnsi="Tahoma" w:cs="Tahoma"/>
      <w:sz w:val="16"/>
      <w:szCs w:val="16"/>
    </w:rPr>
  </w:style>
  <w:style w:type="paragraph" w:styleId="Listaszerbekezds">
    <w:name w:val="Listaszerű bekezdés"/>
    <w:basedOn w:val="Normal"/>
    <w:qFormat/>
    <w:pPr>
      <w:ind w:left="708" w:right="0" w:hanging="0"/>
    </w:pPr>
    <w:rPr/>
  </w:style>
  <w:style w:type="paragraph" w:styleId="Kerettartalom">
    <w:name w:val="Kerettartalom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Application>LibreOffice/5.4.4.2$Windows_x86 LibreOffice_project/2524958677847fb3bb44820e40380acbe820f960</Application>
  <Pages>5</Pages>
  <Words>1070</Words>
  <Characters>8059</Characters>
  <CharactersWithSpaces>9828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2015-02-10T00:39:00Z</dcterms:created>
  <dc:creator>Géptesztelő példány</dc:creator>
  <dc:description/>
  <dc:language>hu-HU</dc:language>
  <cp:lastModifiedBy/>
  <cp:lastPrinted>1995-11-21T17:41:00Z</cp:lastPrinted>
  <dcterms:modified xsi:type="dcterms:W3CDTF">2019-05-29T09:46:19Z</dcterms:modified>
  <cp:revision>27</cp:revision>
  <dc:subject/>
  <dc:title>A zárszámadási rendelet-tervezet előterjesztésének javasolt szerkezete:</dc:title>
</cp:coreProperties>
</file>