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</w:rPr>
        <w:t>Nóráp</w:t>
      </w:r>
    </w:p>
    <w:p>
      <w:pPr>
        <w:pStyle w:val="Cmsor1"/>
        <w:jc w:val="center"/>
        <w:rPr>
          <w:caps/>
        </w:rPr>
      </w:pPr>
      <w:bookmarkStart w:id="0" w:name="_Toc59855270"/>
      <w:bookmarkStart w:id="1" w:name="_Toc59599617"/>
      <w:bookmarkEnd w:id="0"/>
      <w:bookmarkEnd w:id="1"/>
      <w:r>
        <w:rPr>
          <w:caps/>
        </w:rPr>
        <w:t>ÖNKORMÁNYZAT 2018. évi belső ELLENŐRZÉSI TERV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W w:w="2650" w:type="pct"/>
        <w:jc w:val="left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113" w:type="dxa"/>
          <w:right w:w="108" w:type="dxa"/>
        </w:tblCellMar>
        <w:tblLook w:firstRow="0" w:noVBand="0" w:lastRow="0" w:firstColumn="0" w:lastColumn="0" w:noHBand="0"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Lfej"/>
              <w:jc w:val="center"/>
              <w:rPr>
                <w:b/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  <w:bottom w:w="0" w:type="dxa"/>
            </w:tcMar>
          </w:tcPr>
          <w:p>
            <w:pPr>
              <w:pStyle w:val="Lfej"/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cs="Arial" w:ascii="Arial" w:hAnsi="Arial"/>
                <w:sz w:val="20"/>
                <w:szCs w:val="23"/>
                <w:lang w:val="hu-HU"/>
              </w:rPr>
              <w:t>Kockázatelemzés (lista, mátrix) 2017.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Lfej"/>
        <w:jc w:val="center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Normal"/>
        <w:jc w:val="both"/>
        <w:rPr/>
      </w:pPr>
      <w:r>
        <w:rPr/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6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8891270" cy="6572250"/>
                <wp:effectExtent l="0" t="0" r="0" b="0"/>
                <wp:wrapSquare wrapText="bothSides"/>
                <wp:docPr id="1" name="Keret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1270" cy="657225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text" w:leftFromText="141" w:rightFromText="141" w:tblpX="0" w:tblpXSpec="center" w:tblpY="1" w:topFromText="0" w:vertAnchor="text"/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103" w:type="dxa"/>
                                <w:bottom w:w="113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181"/>
                              <w:gridCol w:w="3092"/>
                              <w:gridCol w:w="2727"/>
                              <w:gridCol w:w="2182"/>
                              <w:gridCol w:w="1820"/>
                              <w:gridCol w:w="1999"/>
                            </w:tblGrid>
                            <w:tr>
                              <w:trPr>
                                <w:tblHeader w:val="true"/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Ellenőrzendő folyamatok és szervezetek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Az ellenőrzésre vonatkozó  stratégia </w:t>
                                  </w:r>
                                  <w:r>
                                    <w:rPr>
                                      <w:szCs w:val="23"/>
                                      <w:lang w:val="hu-HU"/>
                                    </w:rPr>
                                    <w:t>(ellenőrzés célja, tárgya, terjedelme, ellenőrzött időszak)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>Azonosított kockázati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Tényezők 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Az ellenőrzés típusa 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Az ellenőrzés ütemezése </w:t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b/>
                                      <w:bCs/>
                                      <w:szCs w:val="23"/>
                                      <w:lang w:val="hu-HU"/>
                                    </w:rPr>
                                    <w:t xml:space="preserve">Erőforrás szükségletek 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/>
                                      <w:b/>
                                    </w:rPr>
                                    <w:t>Pénzkezelés, pénzgazdálkodás ellenőrzése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cs="Arial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Szabályozottság, szabályszerűség ellenőrzése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Bank, pénztár, szabályzat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 év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A közpénz hiányosan, vagy nem teljes körűen alátámasztott felhasználása</w:t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Nem a helyi szabályzatnak megfelelő pénzkezelés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Szabályszerűségi, és pénzügyi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I.– III. hó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április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30.</w:t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5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 xml:space="preserve">Államháztartáson kívüli, vagy állam-háztartáson belüli szervezetnek, sze-mélynek vagyon-kezelésbe, bérbe adott eszközök számviteli nyilván-tartásának vizsgálata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számviteli szabályok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a vagyonkezelésbe, bérbe adott eszközök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 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Az eltérő, speciális számviteli kezelésből adódó hibaforrások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IV. 1 – VI.30.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július 31.</w:t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</w:rPr>
                                    <w:t>A folyamatos teljesítés vizsgálata a be és kimenő számlaforgalomban. Az Áfa törvény módosítása, utáni számlázási gyakorlat ellenőrzése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jogszabályi előírások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Kimenő, és bejövő számlák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A teljesítési idő hibás rögzítése, hibás áfa bevallást eredményezhet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IX. 1 – X.31.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november 20.</w:t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  <w:lang w:val="hu-HU"/>
                                    </w:rPr>
                                    <w:t>Tartalék időkeret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Rendkívüli igények teljesítése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2018. év</w:t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(1 vizsgálatvezető, 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1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/>
                                  </w:pPr>
                                  <w:bookmarkStart w:id="2" w:name="__UnoMark__356_1678197198"/>
                                  <w:bookmarkStart w:id="3" w:name="__UnoMark__357_1678197198"/>
                                  <w:bookmarkEnd w:id="2"/>
                                  <w:bookmarkEnd w:id="3"/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3"/>
                                      <w:lang w:val="hu-HU"/>
                                    </w:rPr>
                                    <w:t>Összefoglaló jelentés a 2018. évi belső ellenőrzésről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4" w:name="__UnoMark__359_1678197198"/>
                                  <w:bookmarkStart w:id="5" w:name="__UnoMark__358_1678197198"/>
                                  <w:bookmarkStart w:id="6" w:name="__UnoMark__359_1678197198"/>
                                  <w:bookmarkStart w:id="7" w:name="__UnoMark__358_1678197198"/>
                                  <w:bookmarkEnd w:id="6"/>
                                  <w:bookmarkEnd w:id="7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/>
                                  </w:pPr>
                                  <w:bookmarkStart w:id="8" w:name="__UnoMark__360_1678197198"/>
                                  <w:bookmarkStart w:id="9" w:name="__UnoMark__361_1678197198"/>
                                  <w:bookmarkEnd w:id="8"/>
                                  <w:bookmarkEnd w:id="9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Kitűzött célok, a terv hatékony megvalósítása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103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0" w:name="__UnoMark__363_1678197198"/>
                                  <w:bookmarkStart w:id="11" w:name="__UnoMark__362_1678197198"/>
                                  <w:bookmarkStart w:id="12" w:name="__UnoMark__363_1678197198"/>
                                  <w:bookmarkStart w:id="13" w:name="__UnoMark__362_1678197198"/>
                                  <w:bookmarkEnd w:id="12"/>
                                  <w:bookmarkEnd w:id="13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bookmarkStart w:id="14" w:name="__UnoMark__364_1678197198"/>
                                  <w:bookmarkEnd w:id="14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2019. január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5" w:name="__UnoMark__365_1678197198"/>
                                  <w:bookmarkStart w:id="16" w:name="__UnoMark__365_1678197198"/>
                                  <w:bookmarkEnd w:id="16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bookmarkStart w:id="17" w:name="__UnoMark__366_1678197198"/>
                                  <w:bookmarkEnd w:id="17"/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1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3"/>
                                      <w:lang w:val="hu-HU"/>
                                    </w:rPr>
                                    <w:t>(Belső ellenőrzési vezető )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style="position:absolute;rotation:0;width:700.1pt;height:517.5pt;mso-wrap-distance-left:7.05pt;mso-wrap-distance-right:7.05pt;mso-wrap-distance-top:0pt;mso-wrap-distance-bottom:0pt;margin-top:0.05pt;mso-position-vertical-relative:text;margin-left:0pt;mso-position-horizontal:center;mso-position-horizontal-relative:text">
                <v:textbox inset="0in,0in,0in,0in">
                  <w:txbxContent>
                    <w:tbl>
                      <w:tblPr>
                        <w:tblpPr w:bottomFromText="0" w:horzAnchor="text" w:leftFromText="141" w:rightFromText="141" w:tblpX="0" w:tblpXSpec="center" w:tblpY="1" w:topFromText="0" w:vertAnchor="text"/>
                        <w:tblW w:w="5000" w:type="pct"/>
                        <w:jc w:val="center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103" w:type="dxa"/>
                          <w:bottom w:w="113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181"/>
                        <w:gridCol w:w="3092"/>
                        <w:gridCol w:w="2727"/>
                        <w:gridCol w:w="2182"/>
                        <w:gridCol w:w="1820"/>
                        <w:gridCol w:w="1999"/>
                      </w:tblGrid>
                      <w:tr>
                        <w:trPr>
                          <w:tblHeader w:val="true"/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Ellenőrzendő folyamatok és szervezetek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Az ellenőrzésre vonatkozó  stratégia </w:t>
                            </w:r>
                            <w:r>
                              <w:rPr>
                                <w:szCs w:val="23"/>
                                <w:lang w:val="hu-HU"/>
                              </w:rPr>
                              <w:t>(ellenőrzés célja, tárgya, terjedelme, ellenőrzött időszak)</w:t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>Azonosított kockázati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Tényezők 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Az ellenőrzés típusa 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top w:w="113" w:type="dxa"/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Az ellenőrzés ütemezése </w:t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b/>
                                <w:bCs/>
                                <w:szCs w:val="23"/>
                                <w:lang w:val="hu-HU"/>
                              </w:rPr>
                              <w:t xml:space="preserve">Erőforrás szükségletek 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Pénzkezelés, pénzgazdálkodás ellenőrzése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Szabályozottság, szabályszerűség ellenőrzése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Bank, pénztár, szabályzat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2017. év</w:t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A közpénz hiányosan, vagy nem teljes körűen alátámasztott felhasználása</w:t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Nem a helyi szabályzatnak megfelelő pénzkezelés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Szabályszerűségi, és pénzügyi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I.– III. hó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április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30.</w:t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5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(1 vizsgálatvezető,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 xml:space="preserve">Államháztartáson kívüli, vagy állam-háztartáson belüli szervezetnek, sze-mélynek vagyon-kezelésbe, bérbe adott eszközök számviteli nyilván-tartásának vizsgálata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számviteli szabályok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a vagyonkezelésbe, bérbe adott eszközök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Önkormányzat 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Az eltérő, speciális számviteli kezelésből adódó hibaforrások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IV. 1 – VI.30.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július 31.</w:t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</w:rPr>
                              <w:t>A folyamatos teljesítés vizsgálata a be és kimenő számlaforgalomban. Az Áfa törvény módosítása, utáni számlázási gyakorlat ellenőrzése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jogszabályi előírások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 Kimenő, és bejövő számlák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Önkormányzat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A teljesítési idő hibás rögzítése, hibás áfa bevallást eredményezhet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IX. 1 – X.31.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november 20.</w:t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  <w:lang w:val="hu-HU"/>
                              </w:rPr>
                              <w:t>Tartalék időkeret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Rendkívüli igények teljesítése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2018. év</w:t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 xml:space="preserve">(1 vizsgálatvezető, 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1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/>
                            </w:pPr>
                            <w:bookmarkStart w:id="18" w:name="__UnoMark__356_1678197198"/>
                            <w:bookmarkStart w:id="19" w:name="__UnoMark__357_1678197198"/>
                            <w:bookmarkEnd w:id="18"/>
                            <w:bookmarkEnd w:id="19"/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3"/>
                                <w:lang w:val="hu-HU"/>
                              </w:rPr>
                              <w:t>Összefoglaló jelentés a 2018. évi belső ellenőrzésről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0" w:name="__UnoMark__359_1678197198"/>
                            <w:bookmarkStart w:id="21" w:name="__UnoMark__358_1678197198"/>
                            <w:bookmarkStart w:id="22" w:name="__UnoMark__359_1678197198"/>
                            <w:bookmarkStart w:id="23" w:name="__UnoMark__358_1678197198"/>
                            <w:bookmarkEnd w:id="22"/>
                            <w:bookmarkEnd w:id="23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/>
                            </w:pPr>
                            <w:bookmarkStart w:id="24" w:name="__UnoMark__360_1678197198"/>
                            <w:bookmarkStart w:id="25" w:name="__UnoMark__361_1678197198"/>
                            <w:bookmarkEnd w:id="24"/>
                            <w:bookmarkEnd w:id="25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Kitűzött célok, a terv hatékony megvalósítása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103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6" w:name="__UnoMark__363_1678197198"/>
                            <w:bookmarkStart w:id="27" w:name="__UnoMark__362_1678197198"/>
                            <w:bookmarkStart w:id="28" w:name="__UnoMark__363_1678197198"/>
                            <w:bookmarkStart w:id="29" w:name="__UnoMark__362_1678197198"/>
                            <w:bookmarkEnd w:id="28"/>
                            <w:bookmarkEnd w:id="29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bookmarkStart w:id="30" w:name="__UnoMark__364_1678197198"/>
                            <w:bookmarkEnd w:id="30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2019. január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31" w:name="__UnoMark__365_1678197198"/>
                            <w:bookmarkStart w:id="32" w:name="__UnoMark__365_1678197198"/>
                            <w:bookmarkEnd w:id="32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9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bookmarkStart w:id="33" w:name="__UnoMark__366_1678197198"/>
                            <w:bookmarkEnd w:id="33"/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1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3"/>
                                <w:lang w:val="hu-HU"/>
                              </w:rPr>
                              <w:t>(Belső ellenőrzési vezető )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both"/>
        <w:rPr/>
      </w:pP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2018. évben a speciális számviteli-adózási területet ellenőrzése során a folyamatos teljesítés ÁFA törvény szerinti szabályozottságának gyakorlati alkalmazást kívánjuk ellenőrizni. </w:t>
      </w:r>
    </w:p>
    <w:p>
      <w:pPr>
        <w:pStyle w:val="Normal"/>
        <w:jc w:val="both"/>
        <w:rPr/>
      </w:pPr>
      <w:r>
        <w:rPr/>
        <w:t>További, nagyon aktuális speciális számviteli területet is ellenőrzés alá kívánunk vonni, ezért tartalmazza programunk a vagyonkezelésbe, bérbe adott eszközök számviteli nyilvántartásának kontrollját. Itt speciális szabályok érvényesek, melyek alkalmazására az elmúlt években nagy szükség volt, és a jövőben is szükség lesz.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  <w:t>Ellenőrzése</w:t>
      </w:r>
      <w:bookmarkStart w:id="34" w:name="_GoBack"/>
      <w:bookmarkEnd w:id="34"/>
      <w:r>
        <w:rPr/>
        <w:t>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  <w:t>Dátum: 2017. november 24.</w:t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10440" w:leader="none"/>
        </w:tabs>
        <w:rPr>
          <w:szCs w:val="23"/>
          <w:lang w:val="hu-HU"/>
        </w:rPr>
      </w:pPr>
      <w:r>
        <w:rPr>
          <w:szCs w:val="23"/>
          <w:lang w:val="hu-HU"/>
        </w:rPr>
        <w:tab/>
      </w:r>
    </w:p>
    <w:p>
      <w:pPr>
        <w:pStyle w:val="Lfej"/>
        <w:tabs>
          <w:tab w:val="center" w:pos="6663" w:leader="none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 </w:t>
      </w:r>
      <w:r>
        <w:rPr>
          <w:szCs w:val="23"/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enter" w:pos="10440" w:leader="none"/>
        </w:tabs>
        <w:jc w:val="both"/>
        <w:rPr/>
      </w:pPr>
      <w:r>
        <w:rPr>
          <w:szCs w:val="23"/>
          <w:lang w:val="hu-HU"/>
        </w:rPr>
        <w:t xml:space="preserve">            </w:t>
      </w:r>
      <w:r>
        <w:rPr>
          <w:szCs w:val="23"/>
          <w:lang w:val="hu-HU"/>
        </w:rPr>
        <w:tab/>
        <w:t xml:space="preserve">     belső ellenőrzési vezető            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  <mc:AlternateContent>
        <mc:Choice Requires="wps">
          <w:drawing>
            <wp:anchor behindDoc="1" distT="0" distB="0" distL="113665" distR="11430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align>center</wp:align>
              </wp:positionV>
              <wp:extent cx="662305" cy="503555"/>
              <wp:effectExtent l="9525" t="9525" r="5080" b="11430"/>
              <wp:wrapNone/>
              <wp:docPr id="2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168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360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Kerettartalom"/>
                            <w:jc w:val="center"/>
                            <w:rPr/>
                          </w:pPr>
                          <w:r>
                            <w:rPr>
                              <w:color w:val="808080" w:themeColor="text1" w:themeTint="7f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shapetype_98" coordsize="21600,21600" o:spt="98" adj="2700" path="m21600@1qy@10@11l@9@1qy@12@13qx@14@15l@8@0l@1@0qx@16@17l0@6qy@18@19qx@20@21l@0@5l@9@5qx@22@23xm@1@4qx@11@24qy@25@26qx@27@28xnsem@1@4qx@11@24qy@25@26qx@27@28xm@9@0qx@22@29qy@30@31qx@32@33qy@34@35qx@36@37xnsem0@3qy@18@38l@8@0l@8@1qy@39@16qx@40@41l21600@7qy@10@42l@0@5l@0@6qy@29@19qx@31@21xm@8@0l@9@0qx@22@29m@9@0l@9@1qy@12@13qx@14@15m@1@4l@1@3qy@13@43qx@44@45qy@46@47qx@48@49m@0@3l@0@5nfe">
              <v:stroke joinstyle="miter"/>
              <v:formulas>
                <v:f eqn="val #0"/>
                <v:f eqn="prod @0 1 2"/>
                <v:f eqn="prod @0 1 4"/>
                <v:f eqn="sum @0 @1 0"/>
                <v:f eqn="sum @0 @0 0"/>
                <v:f eqn="sum height 0 @0"/>
                <v:f eqn="sum height 0 @1"/>
                <v:f eqn="sum @5 0 @1"/>
                <v:f eqn="sum width 0 @0"/>
                <v:f eqn="sum width 0 @1"/>
                <v:f eqn="sum 0 21600 @1"/>
                <v:f eqn="sum @1 @1 0"/>
                <v:f eqn="sum 0 @9 @2"/>
                <v:f eqn="sum @2 @1 0"/>
                <v:f eqn="sum 0 @12 @2"/>
                <v:f eqn="sum 0 @13 @2"/>
                <v:f eqn="sum 0 @1 @1"/>
                <v:f eqn="sum @1 @0 0"/>
                <v:f eqn="sum @1 0 0"/>
                <v:f eqn="sum @1 @6 0"/>
                <v:f eqn="sum @1 @18 0"/>
                <v:f eqn="sum 0 @19 @1"/>
                <v:f eqn="sum @1 @9 0"/>
                <v:f eqn="sum 0 @5 @1"/>
                <v:f eqn="sum 0 @4 @1"/>
                <v:f eqn="sum 0 @11 @2"/>
                <v:f eqn="sum 0 @24 @2"/>
                <v:f eqn="sum 0 @25 @2"/>
                <v:f eqn="sum @2 @26 0"/>
                <v:f eqn="sum 0 @0 @1"/>
                <v:f eqn="sum 0 @22 @1"/>
                <v:f eqn="sum 0 @29 @1"/>
                <v:f eqn="sum 0 @30 @1"/>
                <v:f eqn="sum @1 @31 0"/>
                <v:f eqn="sum @2 @32 0"/>
                <v:f eqn="sum @2 @33 0"/>
                <v:f eqn="sum @2 @34 0"/>
                <v:f eqn="sum 0 @35 @2"/>
                <v:f eqn="sum 0 @3 @1"/>
                <v:f eqn="sum @1 @8 0"/>
                <v:f eqn="sum @1 @39 0"/>
                <v:f eqn="sum @1 @16 0"/>
                <v:f eqn="sum @1 @7 0"/>
                <v:f eqn="sum 0 @3 @2"/>
                <v:f eqn="sum @2 @13 0"/>
                <v:f eqn="sum @2 @43 0"/>
                <v:f eqn="sum 0 @44 @1"/>
                <v:f eqn="sum @1 @45 0"/>
                <v:f eqn="sum 0 @46 @1"/>
                <v:f eqn="sum 0 @47 @1"/>
              </v:formulas>
              <v:path gradientshapeok="t" o:connecttype="rect" textboxrect="@0,@0,@9,@5"/>
              <v:handles>
                <v:h position="@0,0"/>
              </v:handles>
            </v:shapetype>
            <v:shape id="shape_0" ID="AutoShape 1" stroked="t" style="position:absolute;margin-left:324pt;margin-top:-12.9pt;width:52.05pt;height:39.55pt;mso-position-horizontal:center;mso-position-horizontal-relative:margin;mso-position-vertical:center" type="shapetype_98">
              <w10:wrap type="square"/>
              <v:fill o:detectmouseclick="t" on="false"/>
              <v:stroke color="#a6a6a6" weight="9360" joinstyle="round" endcap="flat"/>
              <v:textbox>
                <w:txbxContent>
                  <w:p>
                    <w:pPr>
                      <w:pStyle w:val="Kerettartalom"/>
                      <w:jc w:val="center"/>
                      <w:rPr/>
                    </w:pPr>
                    <w:r>
                      <w:rPr>
                        <w:color w:val="808080" w:themeColor="text1" w:themeTint="7f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hu-HU" w:eastAsia="hu-HU" w:bidi="ar-SA"/>
    </w:rPr>
  </w:style>
  <w:style w:type="paragraph" w:styleId="Cmsor1">
    <w:name w:val="Heading 1"/>
    <w:basedOn w:val="Cmsor2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qFormat/>
    <w:rsid w:val="006d0ba8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">
    <w:name w:val="Header"/>
    <w:basedOn w:val="Normal"/>
    <w:rsid w:val="00a542ec"/>
    <w:pPr>
      <w:tabs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rsid w:val="006d0ba8"/>
    <w:pPr>
      <w:tabs>
        <w:tab w:val="center" w:pos="4536" w:leader="none"/>
        <w:tab w:val="right" w:pos="9072" w:leader="none"/>
      </w:tabs>
    </w:pPr>
    <w:rPr/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C8DDC-528A-43F2-8DAA-1473E4B9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LibreOffice/5.2.7.2$Windows_x86 LibreOffice_project/2b7f1e640c46ceb28adf43ee075a6e8b8439ed10</Application>
  <Pages>3</Pages>
  <Words>418</Words>
  <Characters>3050</Characters>
  <CharactersWithSpaces>3739</CharactersWithSpaces>
  <Paragraphs>74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2017-11-28T14:03:00Z</dcterms:created>
  <dc:creator>Vendégfelhasználók</dc:creator>
  <dc:description/>
  <dc:language>hu-HU</dc:language>
  <cp:lastModifiedBy/>
  <cp:lastPrinted>2017-12-06T15:49:57Z</cp:lastPrinted>
  <dcterms:modified xsi:type="dcterms:W3CDTF">2017-12-06T15:50:20Z</dcterms:modified>
  <cp:revision>4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