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tabs>
          <w:tab w:val="center" w:pos="4820" w:leader="none"/>
        </w:tabs>
        <w:suppressAutoHyphens w:val="true"/>
        <w:spacing w:before="0" w:after="0" w:line="240"/>
        <w:ind w:right="1152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Nóráp  Község Önkormányzatának 2016. évi közbeszerzési terve</w:t>
      </w:r>
    </w:p>
    <w:p>
      <w:pPr>
        <w:tabs>
          <w:tab w:val="center" w:pos="4820" w:leader="none"/>
        </w:tabs>
        <w:suppressAutoHyphens w:val="true"/>
        <w:spacing w:before="0" w:after="0" w:line="240"/>
        <w:ind w:right="1152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tabs>
          <w:tab w:val="center" w:pos="4820" w:leader="none"/>
        </w:tabs>
        <w:suppressAutoHyphens w:val="true"/>
        <w:spacing w:before="0" w:after="0" w:line="240"/>
        <w:ind w:right="1152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tabs>
          <w:tab w:val="center" w:pos="4820" w:leader="none"/>
        </w:tabs>
        <w:suppressAutoHyphens w:val="true"/>
        <w:spacing w:before="0" w:after="0" w:line="240"/>
        <w:ind w:right="1152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tbl>
      <w:tblPr>
        <w:tblInd w:w="55" w:type="dxa"/>
      </w:tblPr>
      <w:tblGrid>
        <w:gridCol w:w="1512"/>
        <w:gridCol w:w="1512"/>
        <w:gridCol w:w="1512"/>
        <w:gridCol w:w="1512"/>
        <w:gridCol w:w="1512"/>
        <w:gridCol w:w="1514"/>
      </w:tblGrid>
      <w:tr>
        <w:trPr>
          <w:trHeight w:val="1" w:hRule="atLeast"/>
          <w:jc w:val="left"/>
        </w:trPr>
        <w:tc>
          <w:tcPr>
            <w:tcW w:w="9074" w:type="dxa"/>
            <w:gridSpan w:val="6"/>
            <w:tcBorders>
              <w:top w:val="single" w:color="000000" w:sz="1"/>
              <w:left w:val="single" w:color="000000" w:sz="1"/>
              <w:bottom w:val="single" w:color="000000" w:sz="1"/>
              <w:right w:val="single" w:color="000000" w:sz="1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6"/>
                <w:shd w:fill="auto" w:val="clear"/>
              </w:rPr>
              <w:t xml:space="preserve">ÁRUBESZERZÉS</w:t>
            </w:r>
          </w:p>
        </w:tc>
      </w:tr>
      <w:tr>
        <w:trPr>
          <w:trHeight w:val="1" w:hRule="atLeast"/>
          <w:jc w:val="left"/>
        </w:trPr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Beszerzés megnevezése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Adott beszerzés értéke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Becsült összeg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A közbeszerzési eljárás eljárási rendje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A közbeszerzés pénzügyi forrása</w:t>
            </w:r>
          </w:p>
        </w:tc>
        <w:tc>
          <w:tcPr>
            <w:tcW w:w="1514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1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A szerz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ődéskö-tés tervezett időpontja</w:t>
            </w:r>
          </w:p>
        </w:tc>
      </w:tr>
      <w:tr>
        <w:trPr>
          <w:trHeight w:val="1" w:hRule="atLeast"/>
          <w:jc w:val="left"/>
        </w:trPr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  <w:tc>
          <w:tcPr>
            <w:tcW w:w="1514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1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9074" w:type="dxa"/>
            <w:gridSpan w:val="6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1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ÉPÍTÉSI BERUHÁZÁS</w:t>
            </w:r>
          </w:p>
        </w:tc>
      </w:tr>
      <w:tr>
        <w:trPr>
          <w:trHeight w:val="1" w:hRule="atLeast"/>
          <w:jc w:val="left"/>
        </w:trPr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Beszerzés megnevezése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Adott beszerzés értéke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Becsült összeg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A közbeszerzési eljárás eljárási rendje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A közbeszerzés pénzügyi forrása</w:t>
            </w:r>
          </w:p>
        </w:tc>
        <w:tc>
          <w:tcPr>
            <w:tcW w:w="1514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1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A szerz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ődéskö-tés tervezett időpontja</w:t>
            </w:r>
          </w:p>
        </w:tc>
      </w:tr>
      <w:tr>
        <w:trPr>
          <w:trHeight w:val="1" w:hRule="atLeast"/>
          <w:jc w:val="left"/>
        </w:trPr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  <w:tc>
          <w:tcPr>
            <w:tcW w:w="1514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1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9074" w:type="dxa"/>
            <w:gridSpan w:val="6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1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SZOLGÁLTATÁS MEGRENDELÉSE</w:t>
            </w:r>
          </w:p>
        </w:tc>
      </w:tr>
      <w:tr>
        <w:trPr>
          <w:trHeight w:val="1" w:hRule="atLeast"/>
          <w:jc w:val="left"/>
        </w:trPr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Beszerzés megnevezése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Adott beszerzés értéke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Becsült összeg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A közbeszerzési eljárás eljárási rendje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A közbeszerzés pénzügyi forrása</w:t>
            </w:r>
          </w:p>
        </w:tc>
        <w:tc>
          <w:tcPr>
            <w:tcW w:w="1514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1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A szerz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ődéskö-tés tervezett időpontja</w:t>
            </w:r>
          </w:p>
        </w:tc>
      </w:tr>
      <w:tr>
        <w:trPr>
          <w:trHeight w:val="1" w:hRule="atLeast"/>
          <w:jc w:val="left"/>
        </w:trPr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  <w:tc>
          <w:tcPr>
            <w:tcW w:w="1512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0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  <w:tc>
          <w:tcPr>
            <w:tcW w:w="1514" w:type="dxa"/>
            <w:tcBorders>
              <w:top w:val="single" w:color="000000" w:sz="0"/>
              <w:left w:val="single" w:color="000000" w:sz="1"/>
              <w:bottom w:val="single" w:color="000000" w:sz="1"/>
              <w:right w:val="single" w:color="000000" w:sz="1"/>
            </w:tcBorders>
            <w:shd w:color="auto" w:fill="auto" w:val="clear"/>
            <w:tcMar>
              <w:left w:w="54" w:type="dxa"/>
              <w:right w:w="54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</w:tr>
    </w:tbl>
    <w:p>
      <w:pPr>
        <w:tabs>
          <w:tab w:val="center" w:pos="4820" w:leader="none"/>
        </w:tabs>
        <w:suppressAutoHyphens w:val="true"/>
        <w:spacing w:before="0" w:after="0" w:line="240"/>
        <w:ind w:right="1152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tabs>
          <w:tab w:val="center" w:pos="4820" w:leader="none"/>
        </w:tabs>
        <w:suppressAutoHyphens w:val="true"/>
        <w:spacing w:before="0" w:after="0" w:line="240"/>
        <w:ind w:right="1152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</w:p>
    <w:p>
      <w:pPr>
        <w:tabs>
          <w:tab w:val="center" w:pos="4820" w:leader="none"/>
        </w:tabs>
        <w:suppressAutoHyphens w:val="true"/>
        <w:spacing w:before="0" w:after="0" w:line="240"/>
        <w:ind w:right="1152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Nóráp 2016. március  31.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 xml:space="preserve">Stankovics Ferenc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polgármester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ab/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